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3F90D99" w14:textId="42636D0D" w:rsidR="00327991" w:rsidRDefault="00AE7F7F" w:rsidP="00327991">
      <w:pPr>
        <w:jc w:val="both"/>
        <w:rPr>
          <w:rFonts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7B7DE7" wp14:editId="178F9C27">
                <wp:simplePos x="0" y="0"/>
                <wp:positionH relativeFrom="column">
                  <wp:posOffset>751840</wp:posOffset>
                </wp:positionH>
                <wp:positionV relativeFrom="paragraph">
                  <wp:posOffset>-632460</wp:posOffset>
                </wp:positionV>
                <wp:extent cx="5448300" cy="62611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43A76" w14:textId="77777777" w:rsidR="00A21175" w:rsidRPr="00431646" w:rsidRDefault="00A21175" w:rsidP="0032799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1F497D"/>
                                <w:sz w:val="44"/>
                                <w:szCs w:val="44"/>
                              </w:rPr>
                            </w:pPr>
                            <w:r w:rsidRPr="00431646">
                              <w:rPr>
                                <w:rFonts w:ascii="Times New Roman" w:hAnsi="Times New Roman"/>
                                <w:b/>
                                <w:color w:val="1F497D"/>
                                <w:sz w:val="44"/>
                                <w:szCs w:val="44"/>
                              </w:rPr>
                              <w:t>STATE OF CONNECTICUT</w:t>
                            </w:r>
                          </w:p>
                          <w:p w14:paraId="2783A713" w14:textId="77777777" w:rsidR="00A21175" w:rsidRPr="00431646" w:rsidRDefault="00A21175" w:rsidP="00327991">
                            <w:pPr>
                              <w:jc w:val="center"/>
                              <w:rPr>
                                <w:rFonts w:ascii="Bodoni MT" w:hAnsi="Bodoni MT"/>
                                <w:color w:val="1F497D"/>
                                <w:sz w:val="28"/>
                                <w:szCs w:val="28"/>
                              </w:rPr>
                            </w:pPr>
                            <w:r w:rsidRPr="00431646">
                              <w:rPr>
                                <w:rFonts w:ascii="Bodoni MT" w:hAnsi="Bodoni MT"/>
                                <w:color w:val="1F497D"/>
                                <w:sz w:val="28"/>
                                <w:szCs w:val="28"/>
                              </w:rPr>
                              <w:t>PUBLIC UTILITIES REGULATORY AUTHORITY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7B7D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.2pt;margin-top:-49.8pt;width:429pt;height:49.3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BGWIQIAAB0EAAAOAAAAZHJzL2Uyb0RvYy54bWysU21v2yAQ/j5p/wHxfbHjJmlqxam6dJkm&#10;dS9Sux+AMY7RgGNAYme/vgdO06j7No0PiOOOh7vnnlvdDlqRg3BegqnodJJTIgyHRppdRX8+bT8s&#10;KfGBmYYpMKKiR+Hp7fr9u1VvS1FAB6oRjiCI8WVvK9qFYMss87wTmvkJWGHQ2YLTLKDpdlnjWI/o&#10;WmVFni+yHlxjHXDhPd7ej066TvhtK3j43rZeBKIqirmFtLu013HP1itW7hyzneSnNNg/ZKGZNPjp&#10;GeqeBUb2Tv4FpSV34KENEw46g7aVXKQasJpp/qaax45ZkWpBcrw90+T/Hyz/dvjhiGwqepVfU2KY&#10;xiY9iSGQjzCQIvLTW19i2KPFwDDgNfY51ertA/BfnhjYdMzsxJ1z0HeCNZjfNL7MLp6OOD6C1P1X&#10;aPAbtg+QgIbW6Uge0kEQHft0PPcmpsLxcj6bLa9ydHH0LYrFdJqal7Hy5bV1PnwWoEk8VNRh7xM6&#10;Ozz4ELNh5UtI/MyDks1WKpUMt6s3ypEDQ51s00oFvAlThvQVvZkX84RsIL5PEtIyoI6V1BVd5nGN&#10;yopsfDJNCglMqvGMmShzoicyMnIThnrAwMhZDc0RiXIw6hXnCw8duD+U9KjVivrfe+YEJeqLQbJv&#10;prNZFHcyZvPrAg136akvPcxwhKpooGQ8bkIaiMSDvcOmbGXi6zWTU66owUTjaV6iyC/tFPU61etn&#10;AAAA//8DAFBLAwQUAAYACAAAACEAS82Kwd4AAAAKAQAADwAAAGRycy9kb3ducmV2LnhtbEyPwU7D&#10;MBBE70j8g7VI3FonCEIT4lQVFRcOSBQkOLqxE0fYa8t20/D3LCc4zuzT7Ey7XZxls45p8iigXBfA&#10;NPZeTTgKeH97Wm2ApSxRSetRC/jWCbbd5UUrG+XP+KrnQx4ZhWBqpACTc2g4T73RTqa1DxrpNvjo&#10;ZCYZR66iPFO4s/ymKCru5IT0wcigH43uvw4nJ+DDmUnt48vnoOy8fx52d2GJQYjrq2X3ACzrJf/B&#10;8FufqkNHnY7+hCoxS7rc3BIqYFXXFTAi6vuKnCM5ZQG8a/n/Cd0PAAAA//8DAFBLAQItABQABgAI&#10;AAAAIQC2gziS/gAAAOEBAAATAAAAAAAAAAAAAAAAAAAAAABbQ29udGVudF9UeXBlc10ueG1sUEsB&#10;Ai0AFAAGAAgAAAAhADj9If/WAAAAlAEAAAsAAAAAAAAAAAAAAAAALwEAAF9yZWxzLy5yZWxzUEsB&#10;Ai0AFAAGAAgAAAAhAFPwEZYhAgAAHQQAAA4AAAAAAAAAAAAAAAAALgIAAGRycy9lMm9Eb2MueG1s&#10;UEsBAi0AFAAGAAgAAAAhAEvNisHeAAAACgEAAA8AAAAAAAAAAAAAAAAAewQAAGRycy9kb3ducmV2&#10;LnhtbFBLBQYAAAAABAAEAPMAAACGBQAAAAA=&#10;" stroked="f">
                <v:textbox style="mso-fit-shape-to-text:t">
                  <w:txbxContent>
                    <w:p w14:paraId="6F443A76" w14:textId="77777777" w:rsidR="00A21175" w:rsidRPr="00431646" w:rsidRDefault="00A21175" w:rsidP="00327991">
                      <w:pPr>
                        <w:jc w:val="center"/>
                        <w:rPr>
                          <w:rFonts w:ascii="Times New Roman" w:hAnsi="Times New Roman"/>
                          <w:b/>
                          <w:color w:val="1F497D"/>
                          <w:sz w:val="44"/>
                          <w:szCs w:val="44"/>
                        </w:rPr>
                      </w:pPr>
                      <w:r w:rsidRPr="00431646">
                        <w:rPr>
                          <w:rFonts w:ascii="Times New Roman" w:hAnsi="Times New Roman"/>
                          <w:b/>
                          <w:color w:val="1F497D"/>
                          <w:sz w:val="44"/>
                          <w:szCs w:val="44"/>
                        </w:rPr>
                        <w:t>STATE OF CONNECTICUT</w:t>
                      </w:r>
                    </w:p>
                    <w:p w14:paraId="2783A713" w14:textId="77777777" w:rsidR="00A21175" w:rsidRPr="00431646" w:rsidRDefault="00A21175" w:rsidP="00327991">
                      <w:pPr>
                        <w:jc w:val="center"/>
                        <w:rPr>
                          <w:rFonts w:ascii="Bodoni MT" w:hAnsi="Bodoni MT"/>
                          <w:color w:val="1F497D"/>
                          <w:sz w:val="28"/>
                          <w:szCs w:val="28"/>
                        </w:rPr>
                      </w:pPr>
                      <w:r w:rsidRPr="00431646">
                        <w:rPr>
                          <w:rFonts w:ascii="Bodoni MT" w:hAnsi="Bodoni MT"/>
                          <w:color w:val="1F497D"/>
                          <w:sz w:val="28"/>
                          <w:szCs w:val="28"/>
                        </w:rPr>
                        <w:t>PUBLIC UTILITIES REGULATORY AUTHORITY</w:t>
                      </w:r>
                    </w:p>
                  </w:txbxContent>
                </v:textbox>
              </v:shape>
            </w:pict>
          </mc:Fallback>
        </mc:AlternateContent>
      </w:r>
      <w:r w:rsidR="0052753E">
        <w:rPr>
          <w:noProof/>
        </w:rPr>
        <w:drawing>
          <wp:anchor distT="0" distB="2667" distL="114300" distR="114300" simplePos="0" relativeHeight="251658240" behindDoc="0" locked="0" layoutInCell="1" allowOverlap="1" wp14:anchorId="61EC5E82" wp14:editId="1E773394">
            <wp:simplePos x="0" y="0"/>
            <wp:positionH relativeFrom="margin">
              <wp:posOffset>-476250</wp:posOffset>
            </wp:positionH>
            <wp:positionV relativeFrom="margin">
              <wp:posOffset>-409575</wp:posOffset>
            </wp:positionV>
            <wp:extent cx="1227455" cy="1076198"/>
            <wp:effectExtent l="0" t="0" r="0" b="0"/>
            <wp:wrapSquare wrapText="bothSides"/>
            <wp:docPr id="3" name="Picture 2" descr="ct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t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8B50C5" w14:textId="4E0F8C89" w:rsidR="00A57ABB" w:rsidRDefault="00A57ABB" w:rsidP="00327991">
      <w:pPr>
        <w:jc w:val="both"/>
        <w:rPr>
          <w:rFonts w:cs="Arial"/>
          <w:szCs w:val="24"/>
        </w:rPr>
      </w:pPr>
    </w:p>
    <w:p w14:paraId="6FA65328" w14:textId="77777777" w:rsidR="00A57ABB" w:rsidRDefault="00A57ABB" w:rsidP="00327991">
      <w:pPr>
        <w:jc w:val="both"/>
        <w:rPr>
          <w:rFonts w:cs="Arial"/>
          <w:szCs w:val="24"/>
        </w:rPr>
      </w:pPr>
    </w:p>
    <w:p w14:paraId="5AD10B35" w14:textId="77777777" w:rsidR="00A57ABB" w:rsidRDefault="00A57ABB" w:rsidP="00327991">
      <w:pPr>
        <w:jc w:val="both"/>
        <w:rPr>
          <w:rFonts w:cs="Arial"/>
          <w:szCs w:val="24"/>
        </w:rPr>
      </w:pPr>
    </w:p>
    <w:p w14:paraId="20A7DCD4" w14:textId="5736999A" w:rsidR="006306CF" w:rsidRPr="00AE7F7F" w:rsidRDefault="00AE7F7F" w:rsidP="006306CF">
      <w:pPr>
        <w:ind w:left="2880" w:firstLine="72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June </w:t>
      </w:r>
      <w:r w:rsidR="00AF494E">
        <w:rPr>
          <w:rFonts w:cs="Arial"/>
          <w:szCs w:val="24"/>
        </w:rPr>
        <w:t>2</w:t>
      </w:r>
      <w:r w:rsidR="00FD1FE6">
        <w:rPr>
          <w:rFonts w:cs="Arial"/>
          <w:szCs w:val="24"/>
        </w:rPr>
        <w:t>6</w:t>
      </w:r>
      <w:r w:rsidR="006306CF" w:rsidRPr="00AE7F7F">
        <w:rPr>
          <w:rFonts w:cs="Arial"/>
          <w:szCs w:val="24"/>
        </w:rPr>
        <w:t>, 20</w:t>
      </w:r>
      <w:r w:rsidR="00AF494E">
        <w:rPr>
          <w:rFonts w:cs="Arial"/>
          <w:szCs w:val="24"/>
        </w:rPr>
        <w:t>20</w:t>
      </w:r>
    </w:p>
    <w:p w14:paraId="62CF6C0F" w14:textId="77777777" w:rsidR="006306CF" w:rsidRPr="00AE7F7F" w:rsidRDefault="006306CF" w:rsidP="006306CF">
      <w:pPr>
        <w:ind w:left="2880" w:firstLine="720"/>
        <w:jc w:val="both"/>
        <w:rPr>
          <w:rFonts w:cs="Arial"/>
          <w:szCs w:val="24"/>
        </w:rPr>
      </w:pPr>
      <w:r w:rsidRPr="00AE7F7F">
        <w:rPr>
          <w:rFonts w:cs="Arial"/>
          <w:szCs w:val="24"/>
        </w:rPr>
        <w:t>In reply, please refer to:</w:t>
      </w:r>
    </w:p>
    <w:p w14:paraId="4A715A62" w14:textId="58DE2B38" w:rsidR="006306CF" w:rsidRPr="00AE7F7F" w:rsidRDefault="00AF494E" w:rsidP="006306CF">
      <w:pPr>
        <w:ind w:left="2880" w:firstLine="720"/>
        <w:jc w:val="both"/>
        <w:rPr>
          <w:rFonts w:cs="Arial"/>
          <w:szCs w:val="24"/>
        </w:rPr>
      </w:pPr>
      <w:r>
        <w:rPr>
          <w:rFonts w:cs="Arial"/>
          <w:szCs w:val="24"/>
        </w:rPr>
        <w:t>Docket No. 20</w:t>
      </w:r>
      <w:r w:rsidR="006306CF" w:rsidRPr="00AE7F7F">
        <w:rPr>
          <w:rFonts w:cs="Arial"/>
          <w:szCs w:val="24"/>
        </w:rPr>
        <w:t>-01-</w:t>
      </w:r>
      <w:proofErr w:type="gramStart"/>
      <w:r w:rsidR="006306CF" w:rsidRPr="00AE7F7F">
        <w:rPr>
          <w:rFonts w:cs="Arial"/>
          <w:szCs w:val="24"/>
        </w:rPr>
        <w:t>01:EL</w:t>
      </w:r>
      <w:proofErr w:type="gramEnd"/>
      <w:r w:rsidR="006306CF" w:rsidRPr="00AE7F7F">
        <w:rPr>
          <w:rFonts w:cs="Arial"/>
          <w:szCs w:val="24"/>
        </w:rPr>
        <w:t>:PMC</w:t>
      </w:r>
    </w:p>
    <w:p w14:paraId="794903E8" w14:textId="77777777" w:rsidR="006306CF" w:rsidRPr="00AE7F7F" w:rsidRDefault="006306CF" w:rsidP="006306CF">
      <w:pPr>
        <w:jc w:val="both"/>
        <w:rPr>
          <w:rFonts w:cs="Arial"/>
          <w:szCs w:val="24"/>
        </w:rPr>
      </w:pPr>
    </w:p>
    <w:p w14:paraId="0127CB14" w14:textId="77777777" w:rsidR="006306CF" w:rsidRPr="00AE7F7F" w:rsidRDefault="006306CF" w:rsidP="006306CF">
      <w:pPr>
        <w:jc w:val="both"/>
        <w:rPr>
          <w:rFonts w:cs="Arial"/>
          <w:szCs w:val="24"/>
        </w:rPr>
      </w:pPr>
      <w:r w:rsidRPr="00AE7F7F">
        <w:rPr>
          <w:rFonts w:cs="Arial"/>
          <w:szCs w:val="24"/>
        </w:rPr>
        <w:t>Joaquina Borges King, Esq.</w:t>
      </w:r>
    </w:p>
    <w:p w14:paraId="6EA6720A" w14:textId="77777777" w:rsidR="006306CF" w:rsidRPr="00AE7F7F" w:rsidRDefault="006306CF" w:rsidP="006306CF">
      <w:pPr>
        <w:pStyle w:val="Index1"/>
        <w:rPr>
          <w:rFonts w:cs="Arial"/>
          <w:szCs w:val="24"/>
        </w:rPr>
      </w:pPr>
      <w:r w:rsidRPr="00AE7F7F">
        <w:rPr>
          <w:rFonts w:cs="Arial"/>
          <w:szCs w:val="24"/>
        </w:rPr>
        <w:t>Senior Counsel</w:t>
      </w:r>
    </w:p>
    <w:p w14:paraId="0271D72F" w14:textId="77777777" w:rsidR="006306CF" w:rsidRPr="00AE7F7F" w:rsidRDefault="006306CF" w:rsidP="006306CF">
      <w:pPr>
        <w:jc w:val="both"/>
        <w:rPr>
          <w:rFonts w:cs="Arial"/>
          <w:szCs w:val="24"/>
        </w:rPr>
      </w:pPr>
      <w:r w:rsidRPr="00AE7F7F">
        <w:rPr>
          <w:rFonts w:cs="Arial"/>
          <w:szCs w:val="24"/>
        </w:rPr>
        <w:t>The Connecticut Light and Power Company</w:t>
      </w:r>
    </w:p>
    <w:p w14:paraId="6458D427" w14:textId="77777777" w:rsidR="006306CF" w:rsidRPr="00AE7F7F" w:rsidRDefault="006306CF" w:rsidP="006306CF">
      <w:pPr>
        <w:jc w:val="both"/>
        <w:rPr>
          <w:rFonts w:cs="Arial"/>
          <w:szCs w:val="24"/>
        </w:rPr>
      </w:pPr>
      <w:r w:rsidRPr="00AE7F7F">
        <w:rPr>
          <w:rFonts w:cs="Arial"/>
          <w:szCs w:val="24"/>
        </w:rPr>
        <w:t>P.O. Box 270</w:t>
      </w:r>
    </w:p>
    <w:p w14:paraId="3ECFD135" w14:textId="77777777" w:rsidR="006306CF" w:rsidRPr="00AE7F7F" w:rsidRDefault="006306CF" w:rsidP="006306CF">
      <w:pPr>
        <w:jc w:val="both"/>
        <w:rPr>
          <w:rFonts w:cs="Arial"/>
          <w:szCs w:val="24"/>
        </w:rPr>
      </w:pPr>
      <w:r w:rsidRPr="00AE7F7F">
        <w:rPr>
          <w:rFonts w:cs="Arial"/>
          <w:szCs w:val="24"/>
        </w:rPr>
        <w:t>Hartford, CT 06141-0270</w:t>
      </w:r>
    </w:p>
    <w:p w14:paraId="4599C475" w14:textId="77777777" w:rsidR="006306CF" w:rsidRPr="00AE7F7F" w:rsidRDefault="006306CF" w:rsidP="006306CF">
      <w:pPr>
        <w:jc w:val="both"/>
        <w:rPr>
          <w:rFonts w:cs="Arial"/>
          <w:szCs w:val="24"/>
        </w:rPr>
      </w:pPr>
    </w:p>
    <w:p w14:paraId="37128D0D" w14:textId="7617750B" w:rsidR="006306CF" w:rsidRDefault="00AF494E" w:rsidP="006306CF">
      <w:pPr>
        <w:ind w:left="720" w:hanging="720"/>
        <w:jc w:val="both"/>
        <w:rPr>
          <w:rFonts w:cs="Arial"/>
          <w:szCs w:val="24"/>
        </w:rPr>
      </w:pPr>
      <w:r>
        <w:rPr>
          <w:rFonts w:cs="Arial"/>
          <w:szCs w:val="24"/>
        </w:rPr>
        <w:t>Re:</w:t>
      </w:r>
      <w:r>
        <w:rPr>
          <w:rFonts w:cs="Arial"/>
          <w:szCs w:val="24"/>
        </w:rPr>
        <w:tab/>
        <w:t>Docket No. 20</w:t>
      </w:r>
      <w:r w:rsidR="006306CF" w:rsidRPr="00AE7F7F">
        <w:rPr>
          <w:rFonts w:cs="Arial"/>
          <w:szCs w:val="24"/>
        </w:rPr>
        <w:t>-01-01</w:t>
      </w:r>
      <w:r w:rsidR="00691649">
        <w:rPr>
          <w:rFonts w:cs="Arial"/>
          <w:szCs w:val="24"/>
        </w:rPr>
        <w:t xml:space="preserve"> –</w:t>
      </w:r>
      <w:r w:rsidR="006306CF" w:rsidRPr="00AE7F7F">
        <w:rPr>
          <w:rFonts w:cs="Arial"/>
          <w:szCs w:val="24"/>
        </w:rPr>
        <w:t xml:space="preserve"> Administrative Proceeding to Review </w:t>
      </w:r>
      <w:proofErr w:type="gramStart"/>
      <w:r w:rsidR="006306CF" w:rsidRPr="00AE7F7F">
        <w:rPr>
          <w:rFonts w:cs="Arial"/>
          <w:szCs w:val="24"/>
        </w:rPr>
        <w:t>The</w:t>
      </w:r>
      <w:proofErr w:type="gramEnd"/>
      <w:r w:rsidR="006306CF" w:rsidRPr="00AE7F7F">
        <w:rPr>
          <w:rFonts w:cs="Arial"/>
          <w:szCs w:val="24"/>
        </w:rPr>
        <w:t xml:space="preserve"> Connecticut Light and Power Company’s Standard Service and Supplier of Last Resort Service 20</w:t>
      </w:r>
      <w:r>
        <w:rPr>
          <w:rFonts w:cs="Arial"/>
          <w:szCs w:val="24"/>
        </w:rPr>
        <w:t>20</w:t>
      </w:r>
      <w:r w:rsidR="006306CF" w:rsidRPr="00AE7F7F">
        <w:rPr>
          <w:rFonts w:cs="Arial"/>
          <w:szCs w:val="24"/>
        </w:rPr>
        <w:t xml:space="preserve"> Procurement Results and Rates</w:t>
      </w:r>
    </w:p>
    <w:p w14:paraId="3E62664D" w14:textId="41C9E56B" w:rsidR="007564D0" w:rsidRDefault="007564D0" w:rsidP="006306CF">
      <w:pPr>
        <w:ind w:left="720" w:hanging="720"/>
        <w:jc w:val="both"/>
        <w:rPr>
          <w:rFonts w:cs="Arial"/>
          <w:szCs w:val="24"/>
        </w:rPr>
      </w:pPr>
    </w:p>
    <w:p w14:paraId="7973191A" w14:textId="7CF20D92" w:rsidR="007564D0" w:rsidRPr="00AE7F7F" w:rsidRDefault="007564D0" w:rsidP="006306CF">
      <w:pPr>
        <w:ind w:left="720" w:hanging="720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Docket No. 20-03-01</w:t>
      </w:r>
      <w:r w:rsidR="00691649">
        <w:rPr>
          <w:rFonts w:cs="Arial"/>
          <w:szCs w:val="24"/>
        </w:rPr>
        <w:t xml:space="preserve"> –</w:t>
      </w:r>
      <w:r>
        <w:rPr>
          <w:rFonts w:cs="Arial"/>
          <w:szCs w:val="24"/>
        </w:rPr>
        <w:t xml:space="preserve"> </w:t>
      </w:r>
      <w:r w:rsidRPr="007564D0">
        <w:rPr>
          <w:rFonts w:cs="Arial"/>
          <w:szCs w:val="24"/>
        </w:rPr>
        <w:t>PURA Annual Review of the Rate Adjustment Mechanisms of The Connecticut Light and Power Company</w:t>
      </w:r>
    </w:p>
    <w:p w14:paraId="5DBA0FAD" w14:textId="77777777" w:rsidR="006306CF" w:rsidRPr="00AE7F7F" w:rsidRDefault="006306CF" w:rsidP="006306CF">
      <w:pPr>
        <w:ind w:left="720" w:hanging="720"/>
        <w:jc w:val="both"/>
        <w:rPr>
          <w:rFonts w:cs="Arial"/>
          <w:szCs w:val="24"/>
        </w:rPr>
      </w:pPr>
    </w:p>
    <w:p w14:paraId="45F84586" w14:textId="77777777" w:rsidR="006306CF" w:rsidRPr="00AE7F7F" w:rsidRDefault="006306CF" w:rsidP="006306CF">
      <w:pPr>
        <w:ind w:left="720" w:hanging="720"/>
        <w:jc w:val="both"/>
        <w:rPr>
          <w:rFonts w:cs="Arial"/>
          <w:szCs w:val="24"/>
        </w:rPr>
      </w:pPr>
      <w:r w:rsidRPr="00AE7F7F">
        <w:rPr>
          <w:rFonts w:cs="Arial"/>
          <w:szCs w:val="24"/>
        </w:rPr>
        <w:t>Dear Ms. Borges King:</w:t>
      </w:r>
    </w:p>
    <w:p w14:paraId="6090122D" w14:textId="77777777" w:rsidR="006306CF" w:rsidRPr="00AE7F7F" w:rsidRDefault="006306CF" w:rsidP="006306CF">
      <w:pPr>
        <w:jc w:val="both"/>
        <w:rPr>
          <w:rFonts w:cs="Arial"/>
          <w:szCs w:val="24"/>
        </w:rPr>
      </w:pPr>
    </w:p>
    <w:p w14:paraId="02414118" w14:textId="2EE6FC16" w:rsidR="007564D0" w:rsidRDefault="006306CF" w:rsidP="006306CF">
      <w:pPr>
        <w:ind w:firstLine="720"/>
        <w:jc w:val="both"/>
        <w:rPr>
          <w:rFonts w:cs="Arial"/>
          <w:szCs w:val="24"/>
        </w:rPr>
      </w:pPr>
      <w:r w:rsidRPr="00AE7F7F">
        <w:rPr>
          <w:rFonts w:cs="Arial"/>
          <w:szCs w:val="24"/>
        </w:rPr>
        <w:t>In</w:t>
      </w:r>
      <w:r w:rsidR="002909DB" w:rsidRPr="00AE7F7F">
        <w:rPr>
          <w:rFonts w:cs="Arial"/>
          <w:szCs w:val="24"/>
        </w:rPr>
        <w:t xml:space="preserve"> the</w:t>
      </w:r>
      <w:r w:rsidRPr="00AE7F7F">
        <w:rPr>
          <w:rFonts w:cs="Arial"/>
          <w:szCs w:val="24"/>
        </w:rPr>
        <w:t xml:space="preserve"> filings dated </w:t>
      </w:r>
      <w:r w:rsidR="00D53925" w:rsidRPr="00AE7F7F">
        <w:rPr>
          <w:rFonts w:cs="Arial"/>
          <w:szCs w:val="24"/>
        </w:rPr>
        <w:t xml:space="preserve">May </w:t>
      </w:r>
      <w:r w:rsidR="00450D46">
        <w:rPr>
          <w:rFonts w:cs="Arial"/>
          <w:szCs w:val="24"/>
        </w:rPr>
        <w:t>1</w:t>
      </w:r>
      <w:r w:rsidR="00D53925" w:rsidRPr="00AE7F7F">
        <w:rPr>
          <w:rFonts w:cs="Arial"/>
          <w:szCs w:val="24"/>
        </w:rPr>
        <w:t>, 20</w:t>
      </w:r>
      <w:r w:rsidR="00450D46">
        <w:rPr>
          <w:rFonts w:cs="Arial"/>
          <w:szCs w:val="24"/>
        </w:rPr>
        <w:t>20</w:t>
      </w:r>
      <w:r w:rsidR="00857E51">
        <w:rPr>
          <w:rFonts w:cs="Arial"/>
          <w:szCs w:val="24"/>
        </w:rPr>
        <w:t>,</w:t>
      </w:r>
      <w:r w:rsidR="00D53925" w:rsidRPr="00AE7F7F">
        <w:rPr>
          <w:rFonts w:cs="Arial"/>
          <w:szCs w:val="24"/>
        </w:rPr>
        <w:t xml:space="preserve"> </w:t>
      </w:r>
      <w:r w:rsidRPr="00AE7F7F">
        <w:rPr>
          <w:rFonts w:cs="Arial"/>
          <w:szCs w:val="24"/>
        </w:rPr>
        <w:t xml:space="preserve">and </w:t>
      </w:r>
      <w:r w:rsidR="00D53925" w:rsidRPr="00AE7F7F">
        <w:rPr>
          <w:rFonts w:cs="Arial"/>
          <w:szCs w:val="24"/>
        </w:rPr>
        <w:t>June 1</w:t>
      </w:r>
      <w:r w:rsidR="00450D46">
        <w:rPr>
          <w:rFonts w:cs="Arial"/>
          <w:szCs w:val="24"/>
        </w:rPr>
        <w:t>9, 2020</w:t>
      </w:r>
      <w:r w:rsidR="00740E8E">
        <w:rPr>
          <w:rFonts w:cs="Arial"/>
          <w:szCs w:val="24"/>
        </w:rPr>
        <w:t>, in Docket No. 20-01-01</w:t>
      </w:r>
      <w:r w:rsidR="005E7FC9">
        <w:rPr>
          <w:rFonts w:cs="Arial"/>
          <w:szCs w:val="24"/>
        </w:rPr>
        <w:t>,</w:t>
      </w:r>
      <w:r w:rsidRPr="00AE7F7F">
        <w:rPr>
          <w:rFonts w:cs="Arial"/>
          <w:szCs w:val="24"/>
        </w:rPr>
        <w:t xml:space="preserve"> pursuant to </w:t>
      </w:r>
      <w:r w:rsidR="00E52179" w:rsidRPr="00E52179">
        <w:rPr>
          <w:rFonts w:cs="Arial"/>
          <w:szCs w:val="24"/>
        </w:rPr>
        <w:t xml:space="preserve">§§ 16-19b and 16-244c </w:t>
      </w:r>
      <w:r w:rsidRPr="00AE7F7F">
        <w:rPr>
          <w:rFonts w:cs="Arial"/>
          <w:szCs w:val="24"/>
        </w:rPr>
        <w:t>of the General Statutes of Connecticut, The Connecticut Light and Power Company d/b/a Eversource (CL&amp;P or Company) requested that the Public Utilities Regulatory Authority (Authority or PURA) approve</w:t>
      </w:r>
      <w:r w:rsidR="005E7FC9" w:rsidRPr="00AE7F7F">
        <w:rPr>
          <w:rFonts w:cs="Arial"/>
          <w:szCs w:val="24"/>
        </w:rPr>
        <w:t xml:space="preserve"> changes to</w:t>
      </w:r>
      <w:r w:rsidRPr="00AE7F7F">
        <w:rPr>
          <w:rFonts w:cs="Arial"/>
          <w:szCs w:val="24"/>
        </w:rPr>
        <w:t xml:space="preserve"> the</w:t>
      </w:r>
      <w:r w:rsidR="005E7FC9" w:rsidRPr="00AE7F7F">
        <w:rPr>
          <w:rFonts w:cs="Arial"/>
          <w:szCs w:val="24"/>
        </w:rPr>
        <w:t xml:space="preserve"> Revenue Decoupling Mechanism (RDM) charge,</w:t>
      </w:r>
      <w:r w:rsidRPr="00AE7F7F">
        <w:rPr>
          <w:rFonts w:cs="Arial"/>
          <w:szCs w:val="24"/>
        </w:rPr>
        <w:t xml:space="preserve"> Transmission Adjustment Clause (TAC)</w:t>
      </w:r>
      <w:r w:rsidR="005E7FC9" w:rsidRPr="00AE7F7F">
        <w:rPr>
          <w:rFonts w:cs="Arial"/>
          <w:szCs w:val="24"/>
        </w:rPr>
        <w:t xml:space="preserve"> charge</w:t>
      </w:r>
      <w:r w:rsidRPr="00AE7F7F">
        <w:rPr>
          <w:rFonts w:cs="Arial"/>
          <w:szCs w:val="24"/>
        </w:rPr>
        <w:t>, Non</w:t>
      </w:r>
      <w:r w:rsidRPr="00AE7F7F">
        <w:rPr>
          <w:rFonts w:cs="Arial"/>
          <w:szCs w:val="24"/>
        </w:rPr>
        <w:noBreakHyphen/>
      </w:r>
      <w:proofErr w:type="spellStart"/>
      <w:r w:rsidRPr="00AE7F7F">
        <w:rPr>
          <w:rFonts w:cs="Arial"/>
          <w:szCs w:val="24"/>
        </w:rPr>
        <w:t>Bypassable</w:t>
      </w:r>
      <w:proofErr w:type="spellEnd"/>
      <w:r w:rsidRPr="00AE7F7F">
        <w:rPr>
          <w:rFonts w:cs="Arial"/>
          <w:szCs w:val="24"/>
        </w:rPr>
        <w:t xml:space="preserve"> </w:t>
      </w:r>
      <w:r w:rsidR="002909DB" w:rsidRPr="00AE7F7F">
        <w:rPr>
          <w:rFonts w:cs="Arial"/>
          <w:szCs w:val="24"/>
        </w:rPr>
        <w:t>Federally-</w:t>
      </w:r>
      <w:r w:rsidRPr="00AE7F7F">
        <w:rPr>
          <w:rFonts w:cs="Arial"/>
          <w:szCs w:val="24"/>
        </w:rPr>
        <w:t xml:space="preserve">Mandated Congestion Charge (NBFMCC) </w:t>
      </w:r>
      <w:r w:rsidR="005E7FC9" w:rsidRPr="00AE7F7F">
        <w:rPr>
          <w:rFonts w:cs="Arial"/>
          <w:szCs w:val="24"/>
        </w:rPr>
        <w:t>charge</w:t>
      </w:r>
      <w:r w:rsidR="001C6533">
        <w:rPr>
          <w:rFonts w:cs="Arial"/>
          <w:szCs w:val="24"/>
        </w:rPr>
        <w:t>,</w:t>
      </w:r>
      <w:r w:rsidR="005E7FC9">
        <w:rPr>
          <w:rFonts w:cs="Arial"/>
          <w:szCs w:val="24"/>
        </w:rPr>
        <w:t xml:space="preserve"> and</w:t>
      </w:r>
      <w:r w:rsidRPr="00AE7F7F">
        <w:rPr>
          <w:rFonts w:cs="Arial"/>
          <w:szCs w:val="24"/>
        </w:rPr>
        <w:t xml:space="preserve"> Electric System Improvements Tracker (ESI)</w:t>
      </w:r>
      <w:r w:rsidR="005E7FC9" w:rsidRPr="00AE7F7F">
        <w:rPr>
          <w:rFonts w:cs="Arial"/>
          <w:szCs w:val="24"/>
        </w:rPr>
        <w:t xml:space="preserve"> charge</w:t>
      </w:r>
      <w:r w:rsidR="005E7FC9">
        <w:rPr>
          <w:rFonts w:cs="Arial"/>
          <w:szCs w:val="24"/>
        </w:rPr>
        <w:t>,</w:t>
      </w:r>
      <w:r w:rsidRPr="00AE7F7F">
        <w:rPr>
          <w:rFonts w:cs="Arial"/>
          <w:szCs w:val="24"/>
        </w:rPr>
        <w:t xml:space="preserve"> </w:t>
      </w:r>
      <w:r w:rsidR="002909DB" w:rsidRPr="00AE7F7F">
        <w:rPr>
          <w:rFonts w:cs="Arial"/>
          <w:szCs w:val="24"/>
        </w:rPr>
        <w:t xml:space="preserve">to </w:t>
      </w:r>
      <w:r w:rsidRPr="00AE7F7F">
        <w:rPr>
          <w:rFonts w:cs="Arial"/>
          <w:szCs w:val="24"/>
        </w:rPr>
        <w:t>be</w:t>
      </w:r>
      <w:r w:rsidR="002909DB" w:rsidRPr="00AE7F7F">
        <w:rPr>
          <w:rFonts w:cs="Arial"/>
          <w:szCs w:val="24"/>
        </w:rPr>
        <w:t>come</w:t>
      </w:r>
      <w:r w:rsidRPr="00AE7F7F">
        <w:rPr>
          <w:rFonts w:cs="Arial"/>
          <w:szCs w:val="24"/>
        </w:rPr>
        <w:t xml:space="preserve"> effective on J</w:t>
      </w:r>
      <w:r w:rsidR="00450D46">
        <w:rPr>
          <w:rFonts w:cs="Arial"/>
          <w:szCs w:val="24"/>
        </w:rPr>
        <w:t>ul</w:t>
      </w:r>
      <w:r w:rsidRPr="00AE7F7F">
        <w:rPr>
          <w:rFonts w:cs="Arial"/>
          <w:szCs w:val="24"/>
        </w:rPr>
        <w:t>y 1, 20</w:t>
      </w:r>
      <w:r w:rsidR="00450D46">
        <w:rPr>
          <w:rFonts w:cs="Arial"/>
          <w:szCs w:val="24"/>
        </w:rPr>
        <w:t>20</w:t>
      </w:r>
      <w:r w:rsidRPr="00AE7F7F">
        <w:rPr>
          <w:rFonts w:cs="Arial"/>
          <w:szCs w:val="24"/>
        </w:rPr>
        <w:t xml:space="preserve">.  </w:t>
      </w:r>
      <w:r w:rsidR="007564D0">
        <w:rPr>
          <w:rFonts w:cs="Arial"/>
          <w:szCs w:val="24"/>
        </w:rPr>
        <w:t>Additionally, the Company submitted a TAC update filing on June 12, 2020</w:t>
      </w:r>
      <w:r w:rsidR="00857E51">
        <w:rPr>
          <w:rFonts w:cs="Arial"/>
          <w:szCs w:val="24"/>
        </w:rPr>
        <w:t>,</w:t>
      </w:r>
      <w:r w:rsidR="007564D0">
        <w:rPr>
          <w:rFonts w:cs="Arial"/>
          <w:szCs w:val="24"/>
        </w:rPr>
        <w:t xml:space="preserve"> in Docket No. 20-03-01. </w:t>
      </w:r>
      <w:r w:rsidR="007564D0" w:rsidRPr="00AE7F7F">
        <w:rPr>
          <w:rFonts w:cs="Arial"/>
          <w:szCs w:val="24"/>
        </w:rPr>
        <w:t xml:space="preserve"> </w:t>
      </w:r>
    </w:p>
    <w:p w14:paraId="65DC7169" w14:textId="77777777" w:rsidR="007564D0" w:rsidRDefault="007564D0" w:rsidP="006306CF">
      <w:pPr>
        <w:ind w:firstLine="720"/>
        <w:jc w:val="both"/>
        <w:rPr>
          <w:rFonts w:cs="Arial"/>
          <w:szCs w:val="24"/>
        </w:rPr>
      </w:pPr>
    </w:p>
    <w:p w14:paraId="121622CA" w14:textId="31B7E1C1" w:rsidR="006306CF" w:rsidRPr="00AE7F7F" w:rsidRDefault="006306CF" w:rsidP="006306CF">
      <w:pPr>
        <w:ind w:firstLine="720"/>
        <w:jc w:val="both"/>
        <w:rPr>
          <w:rFonts w:cs="Arial"/>
          <w:szCs w:val="24"/>
        </w:rPr>
      </w:pPr>
      <w:r w:rsidRPr="00AE7F7F">
        <w:rPr>
          <w:rFonts w:cs="Arial"/>
          <w:szCs w:val="24"/>
        </w:rPr>
        <w:t>The Company proposed no changes to the</w:t>
      </w:r>
      <w:r w:rsidR="005E7FC9" w:rsidRPr="00AE7F7F">
        <w:rPr>
          <w:rFonts w:cs="Arial"/>
          <w:szCs w:val="24"/>
        </w:rPr>
        <w:t xml:space="preserve"> previously</w:t>
      </w:r>
      <w:r w:rsidR="001C6533">
        <w:rPr>
          <w:rFonts w:cs="Arial"/>
          <w:szCs w:val="24"/>
        </w:rPr>
        <w:t xml:space="preserve"> </w:t>
      </w:r>
      <w:r w:rsidR="005E7FC9" w:rsidRPr="00AE7F7F">
        <w:rPr>
          <w:rFonts w:cs="Arial"/>
          <w:szCs w:val="24"/>
        </w:rPr>
        <w:t>approved</w:t>
      </w:r>
      <w:r w:rsidRPr="00AE7F7F">
        <w:rPr>
          <w:rFonts w:cs="Arial"/>
          <w:szCs w:val="24"/>
        </w:rPr>
        <w:t xml:space="preserve"> Conservation </w:t>
      </w:r>
      <w:r w:rsidR="009224C8">
        <w:rPr>
          <w:rFonts w:cs="Arial"/>
          <w:szCs w:val="24"/>
        </w:rPr>
        <w:t>Adjustment Mechanism charge</w:t>
      </w:r>
      <w:r w:rsidRPr="00AE7F7F">
        <w:rPr>
          <w:rFonts w:cs="Arial"/>
          <w:szCs w:val="24"/>
        </w:rPr>
        <w:t xml:space="preserve">, </w:t>
      </w:r>
      <w:r w:rsidR="00D53925" w:rsidRPr="00AE7F7F">
        <w:rPr>
          <w:rFonts w:cs="Arial"/>
          <w:szCs w:val="24"/>
        </w:rPr>
        <w:t>Competitive Transition Assessment (CTA)</w:t>
      </w:r>
      <w:r w:rsidR="00636441">
        <w:rPr>
          <w:rFonts w:cs="Arial"/>
          <w:szCs w:val="24"/>
        </w:rPr>
        <w:t xml:space="preserve"> charge</w:t>
      </w:r>
      <w:r w:rsidR="00D53925" w:rsidRPr="00AE7F7F">
        <w:rPr>
          <w:rFonts w:cs="Arial"/>
          <w:szCs w:val="24"/>
        </w:rPr>
        <w:t>,</w:t>
      </w:r>
      <w:r w:rsidR="00D53925" w:rsidRPr="00AE7F7F">
        <w:rPr>
          <w:rFonts w:cs="Arial"/>
          <w:color w:val="FF0000"/>
          <w:szCs w:val="24"/>
        </w:rPr>
        <w:t xml:space="preserve"> </w:t>
      </w:r>
      <w:r w:rsidR="00D53925" w:rsidRPr="00AE7F7F">
        <w:rPr>
          <w:rFonts w:cs="Arial"/>
          <w:szCs w:val="24"/>
        </w:rPr>
        <w:t>System Benefit</w:t>
      </w:r>
      <w:r w:rsidR="009224C8">
        <w:rPr>
          <w:rFonts w:cs="Arial"/>
          <w:szCs w:val="24"/>
        </w:rPr>
        <w:t>s</w:t>
      </w:r>
      <w:r w:rsidR="00D53925" w:rsidRPr="00AE7F7F">
        <w:rPr>
          <w:rFonts w:cs="Arial"/>
          <w:szCs w:val="24"/>
        </w:rPr>
        <w:t xml:space="preserve"> </w:t>
      </w:r>
      <w:r w:rsidR="00636441">
        <w:rPr>
          <w:rFonts w:cs="Arial"/>
          <w:szCs w:val="24"/>
        </w:rPr>
        <w:t>c</w:t>
      </w:r>
      <w:r w:rsidR="00636441" w:rsidRPr="00AE7F7F">
        <w:rPr>
          <w:rFonts w:cs="Arial"/>
          <w:szCs w:val="24"/>
        </w:rPr>
        <w:t>harge</w:t>
      </w:r>
      <w:r w:rsidR="00D53925" w:rsidRPr="00AE7F7F">
        <w:rPr>
          <w:rFonts w:cs="Arial"/>
          <w:szCs w:val="24"/>
        </w:rPr>
        <w:t>,</w:t>
      </w:r>
      <w:r w:rsidR="00857E51">
        <w:rPr>
          <w:rFonts w:cs="Arial"/>
          <w:szCs w:val="24"/>
        </w:rPr>
        <w:t xml:space="preserve"> and</w:t>
      </w:r>
      <w:r w:rsidR="00D53925" w:rsidRPr="00AE7F7F">
        <w:rPr>
          <w:rFonts w:cs="Arial"/>
          <w:szCs w:val="24"/>
        </w:rPr>
        <w:t xml:space="preserve"> </w:t>
      </w:r>
      <w:r w:rsidR="002909DB" w:rsidRPr="00AE7F7F">
        <w:rPr>
          <w:rFonts w:cs="Arial"/>
          <w:szCs w:val="24"/>
        </w:rPr>
        <w:t xml:space="preserve">Renewable Energy </w:t>
      </w:r>
      <w:r w:rsidR="00636441">
        <w:rPr>
          <w:rFonts w:cs="Arial"/>
          <w:szCs w:val="24"/>
        </w:rPr>
        <w:t>c</w:t>
      </w:r>
      <w:r w:rsidR="002909DB" w:rsidRPr="00AE7F7F">
        <w:rPr>
          <w:rFonts w:cs="Arial"/>
          <w:szCs w:val="24"/>
        </w:rPr>
        <w:t>harge</w:t>
      </w:r>
      <w:r w:rsidR="00AA4299" w:rsidRPr="00AE7F7F">
        <w:rPr>
          <w:rFonts w:cs="Arial"/>
          <w:szCs w:val="24"/>
        </w:rPr>
        <w:t>.</w:t>
      </w:r>
      <w:r w:rsidRPr="00AE7F7F">
        <w:rPr>
          <w:rFonts w:cs="Arial"/>
          <w:szCs w:val="24"/>
        </w:rPr>
        <w:t xml:space="preserve">  </w:t>
      </w:r>
      <w:r w:rsidR="0012164B" w:rsidRPr="00DC5F50">
        <w:t>CL&amp;P</w:t>
      </w:r>
      <w:r w:rsidR="00691649">
        <w:t xml:space="preserve"> Correspondence dated</w:t>
      </w:r>
      <w:r w:rsidR="0012164B" w:rsidRPr="00DC5F50">
        <w:t xml:space="preserve"> June 19, 2020</w:t>
      </w:r>
      <w:r w:rsidR="004E08E3">
        <w:t>,</w:t>
      </w:r>
      <w:r w:rsidR="004E08E3" w:rsidRPr="004E08E3">
        <w:rPr>
          <w:rFonts w:cs="Arial"/>
          <w:szCs w:val="24"/>
        </w:rPr>
        <w:t xml:space="preserve"> </w:t>
      </w:r>
      <w:r w:rsidR="004E08E3" w:rsidRPr="004E08E3">
        <w:t>in Docket No. 20-01-01</w:t>
      </w:r>
      <w:r w:rsidR="0012164B" w:rsidRPr="00DC5F50">
        <w:t>,</w:t>
      </w:r>
      <w:r w:rsidR="00DC5F50" w:rsidRPr="00955E03">
        <w:t xml:space="preserve"> </w:t>
      </w:r>
      <w:r w:rsidR="00DC5F50" w:rsidRPr="00DC5F50">
        <w:t>Application,</w:t>
      </w:r>
      <w:r w:rsidR="0012164B" w:rsidRPr="00DC5F50">
        <w:t xml:space="preserve"> p. 7.</w:t>
      </w:r>
    </w:p>
    <w:p w14:paraId="0343E83D" w14:textId="77777777" w:rsidR="006306CF" w:rsidRPr="00AE7F7F" w:rsidRDefault="006306CF" w:rsidP="00955E03">
      <w:pPr>
        <w:jc w:val="both"/>
        <w:rPr>
          <w:rFonts w:cs="Arial"/>
          <w:szCs w:val="24"/>
        </w:rPr>
      </w:pPr>
    </w:p>
    <w:p w14:paraId="5F3122B5" w14:textId="38059E46" w:rsidR="006306CF" w:rsidRPr="00AE7F7F" w:rsidRDefault="006306CF" w:rsidP="006306CF">
      <w:pPr>
        <w:ind w:firstLine="720"/>
        <w:jc w:val="both"/>
        <w:rPr>
          <w:rFonts w:cs="Arial"/>
          <w:szCs w:val="24"/>
        </w:rPr>
      </w:pPr>
      <w:r w:rsidRPr="00AE7F7F">
        <w:rPr>
          <w:rFonts w:cs="Arial"/>
          <w:szCs w:val="24"/>
        </w:rPr>
        <w:t>CL&amp;P currently recovers the total cost of providing electric service to its customers through individual unbundled charges.  Effective J</w:t>
      </w:r>
      <w:r w:rsidR="00AA4299" w:rsidRPr="00AE7F7F">
        <w:rPr>
          <w:rFonts w:cs="Arial"/>
          <w:szCs w:val="24"/>
        </w:rPr>
        <w:t>ul</w:t>
      </w:r>
      <w:r w:rsidRPr="00AE7F7F">
        <w:rPr>
          <w:rFonts w:cs="Arial"/>
          <w:szCs w:val="24"/>
        </w:rPr>
        <w:t>y 1, 20</w:t>
      </w:r>
      <w:r w:rsidR="00450D46">
        <w:rPr>
          <w:rFonts w:cs="Arial"/>
          <w:szCs w:val="24"/>
        </w:rPr>
        <w:t>20</w:t>
      </w:r>
      <w:r w:rsidRPr="00AE7F7F">
        <w:rPr>
          <w:rFonts w:cs="Arial"/>
          <w:szCs w:val="24"/>
        </w:rPr>
        <w:t xml:space="preserve">, the currently approved rate for many of these billing components will change.  The instant proceeding was established to provide a docket where changes to all individual rate components can be </w:t>
      </w:r>
      <w:r w:rsidR="0070052F">
        <w:rPr>
          <w:rFonts w:cs="Arial"/>
          <w:szCs w:val="24"/>
        </w:rPr>
        <w:lastRenderedPageBreak/>
        <w:t>proposed</w:t>
      </w:r>
      <w:r w:rsidRPr="00AE7F7F">
        <w:rPr>
          <w:rFonts w:cs="Arial"/>
          <w:szCs w:val="24"/>
        </w:rPr>
        <w:t xml:space="preserve"> for </w:t>
      </w:r>
      <w:r w:rsidR="0070052F">
        <w:rPr>
          <w:rFonts w:cs="Arial"/>
          <w:szCs w:val="24"/>
        </w:rPr>
        <w:t>an</w:t>
      </w:r>
      <w:r w:rsidR="0070052F" w:rsidRPr="00AE7F7F">
        <w:rPr>
          <w:rFonts w:cs="Arial"/>
          <w:szCs w:val="24"/>
        </w:rPr>
        <w:t xml:space="preserve"> </w:t>
      </w:r>
      <w:r w:rsidRPr="00AE7F7F">
        <w:rPr>
          <w:rFonts w:cs="Arial"/>
          <w:szCs w:val="24"/>
        </w:rPr>
        <w:t xml:space="preserve">upcoming period.  </w:t>
      </w:r>
      <w:r w:rsidR="00636441">
        <w:rPr>
          <w:rFonts w:cs="Arial"/>
          <w:szCs w:val="24"/>
        </w:rPr>
        <w:t>C</w:t>
      </w:r>
      <w:r w:rsidR="00636441" w:rsidRPr="00AE7F7F">
        <w:rPr>
          <w:rFonts w:cs="Arial"/>
          <w:szCs w:val="24"/>
        </w:rPr>
        <w:t xml:space="preserve">hanges </w:t>
      </w:r>
      <w:r w:rsidRPr="00AE7F7F">
        <w:rPr>
          <w:rFonts w:cs="Arial"/>
          <w:szCs w:val="24"/>
        </w:rPr>
        <w:t xml:space="preserve">to </w:t>
      </w:r>
      <w:r w:rsidR="0070052F">
        <w:rPr>
          <w:rFonts w:cs="Arial"/>
          <w:szCs w:val="24"/>
        </w:rPr>
        <w:t xml:space="preserve">certain </w:t>
      </w:r>
      <w:r w:rsidRPr="00AE7F7F">
        <w:rPr>
          <w:rFonts w:cs="Arial"/>
          <w:szCs w:val="24"/>
        </w:rPr>
        <w:t xml:space="preserve">individual components </w:t>
      </w:r>
      <w:r w:rsidR="0070052F">
        <w:rPr>
          <w:rFonts w:cs="Arial"/>
          <w:szCs w:val="24"/>
        </w:rPr>
        <w:t>proposed in CL&amp;P</w:t>
      </w:r>
      <w:r w:rsidR="002F3CAF">
        <w:rPr>
          <w:rFonts w:cs="Arial"/>
          <w:szCs w:val="24"/>
        </w:rPr>
        <w:t>’</w:t>
      </w:r>
      <w:r w:rsidR="0070052F">
        <w:rPr>
          <w:rFonts w:cs="Arial"/>
          <w:szCs w:val="24"/>
        </w:rPr>
        <w:t xml:space="preserve">s filings </w:t>
      </w:r>
      <w:r w:rsidRPr="00AE7F7F">
        <w:rPr>
          <w:rFonts w:cs="Arial"/>
          <w:szCs w:val="24"/>
        </w:rPr>
        <w:t>are discussed below.</w:t>
      </w:r>
      <w:r w:rsidRPr="00955E03">
        <w:rPr>
          <w:rStyle w:val="FootnoteReference"/>
          <w:rFonts w:cs="Arial"/>
          <w:szCs w:val="16"/>
        </w:rPr>
        <w:footnoteReference w:id="1"/>
      </w:r>
      <w:r w:rsidRPr="00955E03">
        <w:rPr>
          <w:rFonts w:cs="Arial"/>
          <w:sz w:val="16"/>
          <w:szCs w:val="16"/>
        </w:rPr>
        <w:t xml:space="preserve"> </w:t>
      </w:r>
      <w:r w:rsidRPr="00AE7F7F">
        <w:rPr>
          <w:rFonts w:cs="Arial"/>
          <w:szCs w:val="24"/>
        </w:rPr>
        <w:t xml:space="preserve"> </w:t>
      </w:r>
    </w:p>
    <w:p w14:paraId="70074235" w14:textId="77777777" w:rsidR="006306CF" w:rsidRPr="00AE7F7F" w:rsidRDefault="006306CF" w:rsidP="00AE7F7F">
      <w:pPr>
        <w:jc w:val="both"/>
        <w:rPr>
          <w:rFonts w:cs="Arial"/>
          <w:szCs w:val="24"/>
        </w:rPr>
      </w:pPr>
    </w:p>
    <w:p w14:paraId="6183EC0E" w14:textId="3631BF66" w:rsidR="006306CF" w:rsidRPr="00AE7F7F" w:rsidRDefault="002909DB" w:rsidP="006306CF">
      <w:pPr>
        <w:jc w:val="both"/>
        <w:rPr>
          <w:rFonts w:cs="Arial"/>
          <w:b/>
          <w:szCs w:val="24"/>
        </w:rPr>
      </w:pPr>
      <w:r w:rsidRPr="00AE7F7F">
        <w:rPr>
          <w:rFonts w:cs="Arial"/>
          <w:b/>
          <w:szCs w:val="24"/>
        </w:rPr>
        <w:t>1</w:t>
      </w:r>
      <w:r w:rsidR="006306CF" w:rsidRPr="00AE7F7F">
        <w:rPr>
          <w:rFonts w:cs="Arial"/>
          <w:b/>
          <w:szCs w:val="24"/>
        </w:rPr>
        <w:t>.</w:t>
      </w:r>
      <w:r w:rsidR="006306CF" w:rsidRPr="00AE7F7F">
        <w:rPr>
          <w:rFonts w:cs="Arial"/>
          <w:b/>
          <w:szCs w:val="24"/>
        </w:rPr>
        <w:tab/>
        <w:t>Revenue Decoupling Mechanism</w:t>
      </w:r>
      <w:r w:rsidR="009F5B94">
        <w:rPr>
          <w:rFonts w:cs="Arial"/>
          <w:b/>
          <w:szCs w:val="24"/>
        </w:rPr>
        <w:t xml:space="preserve"> Charge</w:t>
      </w:r>
    </w:p>
    <w:p w14:paraId="1D03B838" w14:textId="77777777" w:rsidR="006306CF" w:rsidRPr="00AE7F7F" w:rsidRDefault="006306CF" w:rsidP="006306CF">
      <w:pPr>
        <w:jc w:val="both"/>
        <w:rPr>
          <w:rFonts w:cs="Arial"/>
          <w:b/>
          <w:szCs w:val="24"/>
        </w:rPr>
      </w:pPr>
    </w:p>
    <w:p w14:paraId="32BEFBBC" w14:textId="0B1FA4BC" w:rsidR="006306CF" w:rsidRPr="00AE7F7F" w:rsidRDefault="006306CF" w:rsidP="006306CF">
      <w:pPr>
        <w:jc w:val="both"/>
        <w:rPr>
          <w:rFonts w:cs="Arial"/>
          <w:szCs w:val="24"/>
        </w:rPr>
      </w:pPr>
      <w:r w:rsidRPr="00AE7F7F">
        <w:rPr>
          <w:rFonts w:cs="Arial"/>
          <w:b/>
          <w:szCs w:val="24"/>
        </w:rPr>
        <w:tab/>
      </w:r>
      <w:r w:rsidRPr="00AE7F7F">
        <w:rPr>
          <w:rFonts w:cs="Arial"/>
          <w:szCs w:val="24"/>
        </w:rPr>
        <w:t xml:space="preserve">On </w:t>
      </w:r>
      <w:r w:rsidR="00EE1643">
        <w:rPr>
          <w:rFonts w:cs="Arial"/>
          <w:szCs w:val="24"/>
        </w:rPr>
        <w:t>June 8</w:t>
      </w:r>
      <w:r w:rsidR="00AA4299" w:rsidRPr="00AE7F7F">
        <w:rPr>
          <w:rFonts w:cs="Arial"/>
          <w:szCs w:val="24"/>
        </w:rPr>
        <w:t>, 20</w:t>
      </w:r>
      <w:r w:rsidR="00EE1643">
        <w:rPr>
          <w:rFonts w:cs="Arial"/>
          <w:szCs w:val="24"/>
        </w:rPr>
        <w:t>20</w:t>
      </w:r>
      <w:r w:rsidRPr="00AE7F7F">
        <w:rPr>
          <w:rFonts w:cs="Arial"/>
          <w:szCs w:val="24"/>
        </w:rPr>
        <w:t xml:space="preserve">, CL&amp;P filed a proposed </w:t>
      </w:r>
      <w:r w:rsidR="00EE1643">
        <w:rPr>
          <w:rFonts w:cs="Arial"/>
          <w:szCs w:val="24"/>
        </w:rPr>
        <w:t>in</w:t>
      </w:r>
      <w:r w:rsidRPr="00AE7F7F">
        <w:rPr>
          <w:rFonts w:cs="Arial"/>
          <w:szCs w:val="24"/>
        </w:rPr>
        <w:t xml:space="preserve">crease in the RDM rate based on actual recoveries compared to the allowed revenue requirement in the CL&amp;P Rate Decision.  This rate will </w:t>
      </w:r>
      <w:r w:rsidR="00EE1643">
        <w:rPr>
          <w:rFonts w:cs="Arial"/>
          <w:szCs w:val="24"/>
        </w:rPr>
        <w:t>in</w:t>
      </w:r>
      <w:r w:rsidRPr="00AE7F7F">
        <w:rPr>
          <w:rFonts w:cs="Arial"/>
          <w:szCs w:val="24"/>
        </w:rPr>
        <w:t xml:space="preserve">crease from the current </w:t>
      </w:r>
      <w:r w:rsidR="00EE1643">
        <w:rPr>
          <w:rFonts w:cs="Arial"/>
          <w:szCs w:val="24"/>
        </w:rPr>
        <w:t>-</w:t>
      </w:r>
      <w:r w:rsidRPr="00AE7F7F">
        <w:rPr>
          <w:rFonts w:cs="Arial"/>
          <w:szCs w:val="24"/>
        </w:rPr>
        <w:t>0.</w:t>
      </w:r>
      <w:r w:rsidR="00EE1643">
        <w:rPr>
          <w:rFonts w:cs="Arial"/>
          <w:szCs w:val="24"/>
        </w:rPr>
        <w:t>011</w:t>
      </w:r>
      <w:r w:rsidRPr="00AE7F7F">
        <w:rPr>
          <w:rFonts w:cs="Arial"/>
          <w:szCs w:val="24"/>
        </w:rPr>
        <w:t>¢/kWh to 0.</w:t>
      </w:r>
      <w:r w:rsidR="00EE1643">
        <w:rPr>
          <w:rFonts w:cs="Arial"/>
          <w:szCs w:val="24"/>
        </w:rPr>
        <w:t>182</w:t>
      </w:r>
      <w:r w:rsidRPr="00AE7F7F">
        <w:rPr>
          <w:rFonts w:cs="Arial"/>
          <w:szCs w:val="24"/>
        </w:rPr>
        <w:t xml:space="preserve">¢/kWh </w:t>
      </w:r>
      <w:r w:rsidR="00AA4299" w:rsidRPr="00AE7F7F">
        <w:rPr>
          <w:rFonts w:cs="Arial"/>
          <w:szCs w:val="24"/>
        </w:rPr>
        <w:t>on Jul</w:t>
      </w:r>
      <w:r w:rsidRPr="00AE7F7F">
        <w:rPr>
          <w:rFonts w:cs="Arial"/>
          <w:szCs w:val="24"/>
        </w:rPr>
        <w:t>y 1, 20</w:t>
      </w:r>
      <w:r w:rsidR="00EE1643">
        <w:rPr>
          <w:rFonts w:cs="Arial"/>
          <w:szCs w:val="24"/>
        </w:rPr>
        <w:t>20</w:t>
      </w:r>
      <w:r w:rsidRPr="00AE7F7F">
        <w:rPr>
          <w:rFonts w:cs="Arial"/>
          <w:szCs w:val="24"/>
        </w:rPr>
        <w:t xml:space="preserve">.  </w:t>
      </w:r>
      <w:r w:rsidR="00DC5F50" w:rsidRPr="00DC5F50">
        <w:rPr>
          <w:rFonts w:cs="Arial"/>
          <w:szCs w:val="24"/>
        </w:rPr>
        <w:t>CL&amp;P</w:t>
      </w:r>
      <w:r w:rsidR="00691649" w:rsidRPr="00691649">
        <w:rPr>
          <w:rFonts w:cs="Arial"/>
          <w:szCs w:val="24"/>
        </w:rPr>
        <w:t xml:space="preserve"> Correspondence</w:t>
      </w:r>
      <w:r w:rsidR="00691649">
        <w:rPr>
          <w:rFonts w:cs="Arial"/>
          <w:szCs w:val="24"/>
        </w:rPr>
        <w:t xml:space="preserve"> dated</w:t>
      </w:r>
      <w:r w:rsidR="00DC5F50" w:rsidRPr="00DC5F50">
        <w:rPr>
          <w:rFonts w:cs="Arial"/>
          <w:szCs w:val="24"/>
        </w:rPr>
        <w:t xml:space="preserve"> June 19, 2020,</w:t>
      </w:r>
      <w:r w:rsidR="004E08E3" w:rsidRPr="004E08E3">
        <w:rPr>
          <w:rFonts w:cs="Arial"/>
          <w:szCs w:val="24"/>
        </w:rPr>
        <w:t xml:space="preserve"> in Docket No. 20-01-01</w:t>
      </w:r>
      <w:r w:rsidR="004E08E3">
        <w:rPr>
          <w:rFonts w:cs="Arial"/>
          <w:szCs w:val="24"/>
        </w:rPr>
        <w:t>,</w:t>
      </w:r>
      <w:r w:rsidR="00DC5F50" w:rsidRPr="00DC5F50">
        <w:rPr>
          <w:rFonts w:cs="Arial"/>
          <w:szCs w:val="24"/>
        </w:rPr>
        <w:t xml:space="preserve"> Application</w:t>
      </w:r>
      <w:r w:rsidRPr="00DC5F50">
        <w:rPr>
          <w:rFonts w:cs="Arial"/>
          <w:szCs w:val="24"/>
        </w:rPr>
        <w:t>, p</w:t>
      </w:r>
      <w:r w:rsidR="00DC5F50" w:rsidRPr="00DC5F50">
        <w:rPr>
          <w:rFonts w:cs="Arial"/>
          <w:szCs w:val="24"/>
        </w:rPr>
        <w:t>p</w:t>
      </w:r>
      <w:r w:rsidRPr="00DC5F50">
        <w:rPr>
          <w:rFonts w:cs="Arial"/>
          <w:szCs w:val="24"/>
        </w:rPr>
        <w:t>.</w:t>
      </w:r>
      <w:r w:rsidR="00DC5F50" w:rsidRPr="00DC5F50">
        <w:rPr>
          <w:rFonts w:cs="Arial"/>
          <w:szCs w:val="24"/>
        </w:rPr>
        <w:t xml:space="preserve"> 6</w:t>
      </w:r>
      <w:r w:rsidR="00DC5F50">
        <w:rPr>
          <w:rFonts w:cs="Arial"/>
          <w:szCs w:val="24"/>
        </w:rPr>
        <w:t xml:space="preserve"> and </w:t>
      </w:r>
      <w:r w:rsidR="00EE1643" w:rsidRPr="00502290">
        <w:rPr>
          <w:rFonts w:cs="Arial"/>
          <w:szCs w:val="24"/>
        </w:rPr>
        <w:t>7</w:t>
      </w:r>
      <w:r w:rsidRPr="00502290">
        <w:rPr>
          <w:rFonts w:cs="Arial"/>
          <w:szCs w:val="24"/>
        </w:rPr>
        <w:t>.</w:t>
      </w:r>
    </w:p>
    <w:p w14:paraId="63CC2865" w14:textId="77777777" w:rsidR="006306CF" w:rsidRPr="00AE7F7F" w:rsidRDefault="006306CF" w:rsidP="006306CF">
      <w:pPr>
        <w:jc w:val="both"/>
        <w:rPr>
          <w:rFonts w:cs="Arial"/>
          <w:szCs w:val="24"/>
        </w:rPr>
      </w:pPr>
    </w:p>
    <w:p w14:paraId="2A36A760" w14:textId="019B2FE2" w:rsidR="006306CF" w:rsidRPr="00AE7F7F" w:rsidRDefault="006306CF" w:rsidP="006306CF">
      <w:pPr>
        <w:jc w:val="both"/>
        <w:rPr>
          <w:rFonts w:cs="Arial"/>
          <w:b/>
          <w:szCs w:val="24"/>
        </w:rPr>
      </w:pPr>
      <w:r w:rsidRPr="00AE7F7F">
        <w:rPr>
          <w:rFonts w:cs="Arial"/>
          <w:szCs w:val="24"/>
        </w:rPr>
        <w:tab/>
        <w:t xml:space="preserve">The Company’s </w:t>
      </w:r>
      <w:r w:rsidR="002909DB" w:rsidRPr="00AE7F7F">
        <w:rPr>
          <w:rFonts w:cs="Arial"/>
          <w:szCs w:val="24"/>
        </w:rPr>
        <w:t>proposed</w:t>
      </w:r>
      <w:r w:rsidRPr="00AE7F7F">
        <w:rPr>
          <w:rFonts w:cs="Arial"/>
          <w:szCs w:val="24"/>
        </w:rPr>
        <w:t xml:space="preserve"> RDM rate </w:t>
      </w:r>
      <w:r w:rsidR="0012164B">
        <w:rPr>
          <w:rFonts w:cs="Arial"/>
          <w:szCs w:val="24"/>
        </w:rPr>
        <w:t>was approved by the Authority</w:t>
      </w:r>
      <w:r w:rsidR="002909DB" w:rsidRPr="00AE7F7F">
        <w:rPr>
          <w:rFonts w:cs="Arial"/>
          <w:szCs w:val="24"/>
        </w:rPr>
        <w:t xml:space="preserve"> on June 1</w:t>
      </w:r>
      <w:r w:rsidR="00960700">
        <w:rPr>
          <w:rFonts w:cs="Arial"/>
          <w:szCs w:val="24"/>
        </w:rPr>
        <w:t>6</w:t>
      </w:r>
      <w:r w:rsidR="002909DB" w:rsidRPr="00AE7F7F">
        <w:rPr>
          <w:rFonts w:cs="Arial"/>
          <w:szCs w:val="24"/>
        </w:rPr>
        <w:t>, 20</w:t>
      </w:r>
      <w:r w:rsidR="00960700">
        <w:rPr>
          <w:rFonts w:cs="Arial"/>
          <w:szCs w:val="24"/>
        </w:rPr>
        <w:t>20</w:t>
      </w:r>
      <w:r w:rsidRPr="00AE7F7F">
        <w:rPr>
          <w:rFonts w:cs="Arial"/>
          <w:szCs w:val="24"/>
        </w:rPr>
        <w:t>.</w:t>
      </w:r>
      <w:r w:rsidR="002909DB" w:rsidRPr="00AE7F7F">
        <w:rPr>
          <w:rFonts w:cs="Arial"/>
          <w:szCs w:val="24"/>
        </w:rPr>
        <w:t xml:space="preserve">  See PURA </w:t>
      </w:r>
      <w:r w:rsidR="00777FEA" w:rsidRPr="00955E03">
        <w:rPr>
          <w:rFonts w:cs="Arial"/>
          <w:szCs w:val="24"/>
        </w:rPr>
        <w:t>Ruling</w:t>
      </w:r>
      <w:r w:rsidR="00777FEA">
        <w:rPr>
          <w:rFonts w:cs="Arial"/>
          <w:szCs w:val="24"/>
        </w:rPr>
        <w:t>s</w:t>
      </w:r>
      <w:r w:rsidR="002909DB" w:rsidRPr="00AE7F7F">
        <w:rPr>
          <w:rFonts w:cs="Arial"/>
          <w:szCs w:val="24"/>
        </w:rPr>
        <w:t xml:space="preserve"> to Motion No. </w:t>
      </w:r>
      <w:r w:rsidR="00960700">
        <w:rPr>
          <w:rFonts w:cs="Arial"/>
          <w:szCs w:val="24"/>
        </w:rPr>
        <w:t>52</w:t>
      </w:r>
      <w:r w:rsidR="002909DB" w:rsidRPr="00AE7F7F">
        <w:rPr>
          <w:rFonts w:cs="Arial"/>
          <w:szCs w:val="24"/>
        </w:rPr>
        <w:t xml:space="preserve"> in Docket No. 17-10-46.  </w:t>
      </w:r>
    </w:p>
    <w:p w14:paraId="0DBFCAF2" w14:textId="77777777" w:rsidR="006306CF" w:rsidRPr="00AE7F7F" w:rsidRDefault="006306CF" w:rsidP="006306CF">
      <w:pPr>
        <w:jc w:val="both"/>
        <w:rPr>
          <w:rFonts w:cs="Arial"/>
          <w:b/>
          <w:szCs w:val="24"/>
        </w:rPr>
      </w:pPr>
    </w:p>
    <w:p w14:paraId="11D95AD1" w14:textId="199E1C74" w:rsidR="006306CF" w:rsidRPr="00AE7F7F" w:rsidRDefault="002909DB" w:rsidP="006306CF">
      <w:pPr>
        <w:jc w:val="both"/>
        <w:rPr>
          <w:rFonts w:cs="Arial"/>
          <w:b/>
          <w:szCs w:val="24"/>
        </w:rPr>
      </w:pPr>
      <w:r w:rsidRPr="00AE7F7F">
        <w:rPr>
          <w:rFonts w:cs="Arial"/>
          <w:b/>
          <w:szCs w:val="24"/>
        </w:rPr>
        <w:t>2</w:t>
      </w:r>
      <w:r w:rsidR="006306CF" w:rsidRPr="00AE7F7F">
        <w:rPr>
          <w:rFonts w:cs="Arial"/>
          <w:b/>
          <w:szCs w:val="24"/>
        </w:rPr>
        <w:t>.</w:t>
      </w:r>
      <w:r w:rsidR="006306CF" w:rsidRPr="00AE7F7F">
        <w:rPr>
          <w:rFonts w:cs="Arial"/>
          <w:b/>
          <w:szCs w:val="24"/>
        </w:rPr>
        <w:tab/>
        <w:t xml:space="preserve">Transmission </w:t>
      </w:r>
      <w:r w:rsidR="009F5B94">
        <w:rPr>
          <w:rFonts w:cs="Arial"/>
          <w:b/>
          <w:szCs w:val="24"/>
        </w:rPr>
        <w:t>Charge</w:t>
      </w:r>
    </w:p>
    <w:p w14:paraId="19580E69" w14:textId="77777777" w:rsidR="006306CF" w:rsidRPr="00AE7F7F" w:rsidRDefault="006306CF" w:rsidP="00955E03">
      <w:pPr>
        <w:jc w:val="both"/>
        <w:rPr>
          <w:rFonts w:cs="Arial"/>
          <w:szCs w:val="24"/>
        </w:rPr>
      </w:pPr>
    </w:p>
    <w:p w14:paraId="622D8159" w14:textId="68813204" w:rsidR="00B3670A" w:rsidRPr="00AE7F7F" w:rsidRDefault="006306CF" w:rsidP="006306CF">
      <w:pPr>
        <w:ind w:firstLine="720"/>
        <w:jc w:val="both"/>
        <w:rPr>
          <w:rFonts w:cs="Arial"/>
          <w:szCs w:val="24"/>
        </w:rPr>
      </w:pPr>
      <w:r w:rsidRPr="00AE7F7F">
        <w:rPr>
          <w:rFonts w:cs="Arial"/>
          <w:szCs w:val="24"/>
        </w:rPr>
        <w:t>CL&amp;P</w:t>
      </w:r>
      <w:r w:rsidR="00B70F8D">
        <w:rPr>
          <w:rFonts w:cs="Arial"/>
          <w:szCs w:val="24"/>
        </w:rPr>
        <w:t xml:space="preserve"> proposed to increase its</w:t>
      </w:r>
      <w:r w:rsidRPr="00AE7F7F">
        <w:rPr>
          <w:rFonts w:cs="Arial"/>
          <w:szCs w:val="24"/>
        </w:rPr>
        <w:t xml:space="preserve"> </w:t>
      </w:r>
      <w:r w:rsidR="002909DB" w:rsidRPr="00AE7F7F">
        <w:rPr>
          <w:rFonts w:cs="Arial"/>
          <w:szCs w:val="24"/>
        </w:rPr>
        <w:t xml:space="preserve">TAC </w:t>
      </w:r>
      <w:r w:rsidR="00754252">
        <w:rPr>
          <w:rFonts w:cs="Arial"/>
          <w:szCs w:val="24"/>
        </w:rPr>
        <w:t>C</w:t>
      </w:r>
      <w:r w:rsidR="002909DB" w:rsidRPr="00AE7F7F">
        <w:rPr>
          <w:rFonts w:cs="Arial"/>
          <w:szCs w:val="24"/>
        </w:rPr>
        <w:t>harge</w:t>
      </w:r>
      <w:r w:rsidRPr="00AE7F7F">
        <w:rPr>
          <w:rFonts w:cs="Arial"/>
          <w:szCs w:val="24"/>
        </w:rPr>
        <w:t xml:space="preserve"> to </w:t>
      </w:r>
      <w:r w:rsidR="008F56C3">
        <w:rPr>
          <w:rFonts w:cs="Arial"/>
          <w:szCs w:val="24"/>
        </w:rPr>
        <w:t>3</w:t>
      </w:r>
      <w:r w:rsidRPr="00AE7F7F">
        <w:rPr>
          <w:rFonts w:cs="Arial"/>
          <w:szCs w:val="24"/>
        </w:rPr>
        <w:t>.</w:t>
      </w:r>
      <w:r w:rsidR="008F56C3">
        <w:rPr>
          <w:rFonts w:cs="Arial"/>
          <w:szCs w:val="24"/>
        </w:rPr>
        <w:t>395</w:t>
      </w:r>
      <w:r w:rsidRPr="00AE7F7F">
        <w:rPr>
          <w:rFonts w:cs="Arial"/>
          <w:szCs w:val="24"/>
        </w:rPr>
        <w:t>¢/kWh</w:t>
      </w:r>
      <w:r w:rsidR="00B21F76">
        <w:rPr>
          <w:rFonts w:cs="Arial"/>
          <w:szCs w:val="24"/>
        </w:rPr>
        <w:t>, effective July 1, 2020</w:t>
      </w:r>
      <w:r w:rsidR="002F3CAF">
        <w:rPr>
          <w:rFonts w:cs="Arial"/>
          <w:szCs w:val="24"/>
        </w:rPr>
        <w:t>,</w:t>
      </w:r>
      <w:r w:rsidRPr="00AE7F7F">
        <w:rPr>
          <w:rFonts w:cs="Arial"/>
          <w:szCs w:val="24"/>
        </w:rPr>
        <w:t xml:space="preserve"> from the current </w:t>
      </w:r>
      <w:r w:rsidR="00B21F76">
        <w:rPr>
          <w:rFonts w:cs="Arial"/>
          <w:szCs w:val="24"/>
        </w:rPr>
        <w:t xml:space="preserve">rate of </w:t>
      </w:r>
      <w:r w:rsidRPr="00AE7F7F">
        <w:rPr>
          <w:rFonts w:cs="Arial"/>
          <w:szCs w:val="24"/>
        </w:rPr>
        <w:t>2.</w:t>
      </w:r>
      <w:r w:rsidR="008F56C3">
        <w:rPr>
          <w:rFonts w:cs="Arial"/>
          <w:szCs w:val="24"/>
        </w:rPr>
        <w:t>356</w:t>
      </w:r>
      <w:r w:rsidRPr="00AE7F7F">
        <w:rPr>
          <w:rFonts w:cs="Arial"/>
          <w:szCs w:val="24"/>
        </w:rPr>
        <w:t>¢/kWh</w:t>
      </w:r>
      <w:r w:rsidR="00B3670A" w:rsidRPr="00AE7F7F">
        <w:rPr>
          <w:rFonts w:cs="Arial"/>
          <w:szCs w:val="24"/>
        </w:rPr>
        <w:t xml:space="preserve">.  </w:t>
      </w:r>
      <w:r w:rsidR="008F56C3">
        <w:rPr>
          <w:rFonts w:cs="Arial"/>
          <w:szCs w:val="24"/>
        </w:rPr>
        <w:t xml:space="preserve">The </w:t>
      </w:r>
      <w:r w:rsidR="00B70F8D">
        <w:rPr>
          <w:rFonts w:cs="Arial"/>
          <w:szCs w:val="24"/>
        </w:rPr>
        <w:t>adjustment to the</w:t>
      </w:r>
      <w:r w:rsidR="00F00182">
        <w:rPr>
          <w:rFonts w:cs="Arial"/>
          <w:szCs w:val="24"/>
        </w:rPr>
        <w:t xml:space="preserve"> </w:t>
      </w:r>
      <w:r w:rsidR="00B70F8D">
        <w:rPr>
          <w:rFonts w:cs="Arial"/>
          <w:szCs w:val="24"/>
        </w:rPr>
        <w:t xml:space="preserve">TAC </w:t>
      </w:r>
      <w:r w:rsidR="0012164B">
        <w:rPr>
          <w:rFonts w:cs="Arial"/>
          <w:szCs w:val="24"/>
        </w:rPr>
        <w:t xml:space="preserve">Charge </w:t>
      </w:r>
      <w:r w:rsidR="00B70F8D">
        <w:rPr>
          <w:rFonts w:cs="Arial"/>
          <w:szCs w:val="24"/>
        </w:rPr>
        <w:t>is the result of</w:t>
      </w:r>
      <w:r w:rsidR="00F00182">
        <w:rPr>
          <w:rFonts w:cs="Arial"/>
          <w:szCs w:val="24"/>
        </w:rPr>
        <w:t xml:space="preserve"> lower than expected power demand in New England</w:t>
      </w:r>
      <w:r w:rsidR="00B70F8D">
        <w:rPr>
          <w:rFonts w:cs="Arial"/>
          <w:szCs w:val="24"/>
        </w:rPr>
        <w:t xml:space="preserve"> along with forecasted investments in transmission infrastructure</w:t>
      </w:r>
      <w:r w:rsidR="00F00182">
        <w:rPr>
          <w:rFonts w:cs="Arial"/>
          <w:szCs w:val="24"/>
        </w:rPr>
        <w:t xml:space="preserve">.  </w:t>
      </w:r>
      <w:r w:rsidR="00B70F8D">
        <w:rPr>
          <w:rFonts w:cs="Arial"/>
          <w:szCs w:val="24"/>
        </w:rPr>
        <w:t>Additionally, the Company experienced</w:t>
      </w:r>
      <w:r w:rsidR="00017E23">
        <w:rPr>
          <w:rFonts w:cs="Arial"/>
          <w:szCs w:val="24"/>
        </w:rPr>
        <w:t xml:space="preserve"> </w:t>
      </w:r>
      <w:r w:rsidR="00B70F8D">
        <w:rPr>
          <w:rFonts w:cs="Arial"/>
          <w:szCs w:val="24"/>
        </w:rPr>
        <w:t xml:space="preserve">an unusually </w:t>
      </w:r>
      <w:r w:rsidR="00017E23">
        <w:rPr>
          <w:rFonts w:cs="Arial"/>
          <w:szCs w:val="24"/>
        </w:rPr>
        <w:t xml:space="preserve">large 2019 under-recovery of Local Network Service charges of approximately $45 million.  </w:t>
      </w:r>
      <w:r w:rsidR="00B70F8D" w:rsidRPr="00B70F8D">
        <w:rPr>
          <w:rFonts w:cs="Arial"/>
          <w:szCs w:val="24"/>
        </w:rPr>
        <w:t>Due to the significant increase</w:t>
      </w:r>
      <w:r w:rsidR="00B70F8D">
        <w:rPr>
          <w:rFonts w:cs="Arial"/>
          <w:szCs w:val="24"/>
        </w:rPr>
        <w:t xml:space="preserve"> in transmission costs</w:t>
      </w:r>
      <w:r w:rsidR="00B70F8D" w:rsidRPr="00B70F8D">
        <w:rPr>
          <w:rFonts w:cs="Arial"/>
          <w:szCs w:val="24"/>
        </w:rPr>
        <w:t>, and the Company’s awareness of the challenging economic climate customers are facing as a conse</w:t>
      </w:r>
      <w:r w:rsidR="00B70F8D">
        <w:rPr>
          <w:rFonts w:cs="Arial"/>
          <w:szCs w:val="24"/>
        </w:rPr>
        <w:t>quence of COVID-19, Eversource</w:t>
      </w:r>
      <w:r w:rsidR="00B70F8D" w:rsidRPr="00B70F8D">
        <w:rPr>
          <w:rFonts w:cs="Arial"/>
          <w:szCs w:val="24"/>
        </w:rPr>
        <w:t xml:space="preserve"> propos</w:t>
      </w:r>
      <w:r w:rsidR="00B70F8D">
        <w:rPr>
          <w:rFonts w:cs="Arial"/>
          <w:szCs w:val="24"/>
        </w:rPr>
        <w:t>es</w:t>
      </w:r>
      <w:r w:rsidR="00B70F8D" w:rsidRPr="00B70F8D">
        <w:rPr>
          <w:rFonts w:cs="Arial"/>
          <w:szCs w:val="24"/>
        </w:rPr>
        <w:t xml:space="preserve"> </w:t>
      </w:r>
      <w:r w:rsidR="00B70F8D">
        <w:rPr>
          <w:rFonts w:cs="Arial"/>
          <w:szCs w:val="24"/>
        </w:rPr>
        <w:t>to</w:t>
      </w:r>
      <w:r w:rsidR="00B70F8D" w:rsidRPr="00B70F8D">
        <w:rPr>
          <w:rFonts w:cs="Arial"/>
          <w:szCs w:val="24"/>
        </w:rPr>
        <w:t xml:space="preserve"> recover these costs over a 24-month period, with interest, rather than the traditional 6-month recovery period</w:t>
      </w:r>
      <w:r w:rsidR="00B70F8D">
        <w:rPr>
          <w:rFonts w:cs="Arial"/>
          <w:szCs w:val="24"/>
        </w:rPr>
        <w:t xml:space="preserve">.  </w:t>
      </w:r>
      <w:r w:rsidR="00B3670A" w:rsidRPr="00AE7F7F">
        <w:rPr>
          <w:rFonts w:cs="Arial"/>
          <w:szCs w:val="24"/>
        </w:rPr>
        <w:t>CL&amp;P</w:t>
      </w:r>
      <w:r w:rsidR="00691649">
        <w:rPr>
          <w:rFonts w:cs="Arial"/>
          <w:szCs w:val="24"/>
        </w:rPr>
        <w:t xml:space="preserve"> </w:t>
      </w:r>
      <w:r w:rsidR="00691649" w:rsidRPr="00DC5F50">
        <w:rPr>
          <w:rFonts w:cs="Arial"/>
          <w:szCs w:val="24"/>
        </w:rPr>
        <w:t>Correspondence</w:t>
      </w:r>
      <w:r w:rsidR="00691649">
        <w:rPr>
          <w:rFonts w:cs="Arial"/>
          <w:szCs w:val="24"/>
        </w:rPr>
        <w:t xml:space="preserve"> dated</w:t>
      </w:r>
      <w:r w:rsidR="00B3670A" w:rsidRPr="00AE7F7F">
        <w:rPr>
          <w:rFonts w:cs="Arial"/>
          <w:szCs w:val="24"/>
        </w:rPr>
        <w:t xml:space="preserve"> June 1</w:t>
      </w:r>
      <w:r w:rsidR="00017E23">
        <w:rPr>
          <w:rFonts w:cs="Arial"/>
          <w:szCs w:val="24"/>
        </w:rPr>
        <w:t>9</w:t>
      </w:r>
      <w:r w:rsidR="00B3670A" w:rsidRPr="00AE7F7F">
        <w:rPr>
          <w:rFonts w:cs="Arial"/>
          <w:szCs w:val="24"/>
        </w:rPr>
        <w:t>, 20</w:t>
      </w:r>
      <w:r w:rsidR="008F56C3">
        <w:rPr>
          <w:rFonts w:cs="Arial"/>
          <w:szCs w:val="24"/>
        </w:rPr>
        <w:t>20</w:t>
      </w:r>
      <w:r w:rsidR="00DC5F50" w:rsidRPr="00DC5F50">
        <w:rPr>
          <w:rFonts w:cs="Arial"/>
          <w:szCs w:val="24"/>
        </w:rPr>
        <w:t>,</w:t>
      </w:r>
      <w:r w:rsidR="004E08E3" w:rsidRPr="004E08E3">
        <w:rPr>
          <w:rFonts w:cs="Arial"/>
          <w:szCs w:val="24"/>
        </w:rPr>
        <w:t xml:space="preserve"> in Docket No. 20-01-01</w:t>
      </w:r>
      <w:r w:rsidR="004E08E3">
        <w:rPr>
          <w:rFonts w:cs="Arial"/>
          <w:szCs w:val="24"/>
        </w:rPr>
        <w:t>,</w:t>
      </w:r>
      <w:r w:rsidR="00DC5F50" w:rsidRPr="00DC5F50">
        <w:rPr>
          <w:rFonts w:cs="Arial"/>
          <w:szCs w:val="24"/>
        </w:rPr>
        <w:t xml:space="preserve"> Application</w:t>
      </w:r>
      <w:r w:rsidR="009A523F">
        <w:rPr>
          <w:rFonts w:cs="Arial"/>
          <w:szCs w:val="24"/>
        </w:rPr>
        <w:t xml:space="preserve">, </w:t>
      </w:r>
      <w:r w:rsidR="00B3670A" w:rsidRPr="00AE7F7F">
        <w:rPr>
          <w:rFonts w:cs="Arial"/>
          <w:szCs w:val="24"/>
        </w:rPr>
        <w:t>p</w:t>
      </w:r>
      <w:r w:rsidR="00DC5F50">
        <w:rPr>
          <w:rFonts w:cs="Arial"/>
          <w:szCs w:val="24"/>
        </w:rPr>
        <w:t>p</w:t>
      </w:r>
      <w:r w:rsidR="00B3670A" w:rsidRPr="00AE7F7F">
        <w:rPr>
          <w:rFonts w:cs="Arial"/>
          <w:szCs w:val="24"/>
        </w:rPr>
        <w:t>. 5</w:t>
      </w:r>
      <w:r w:rsidR="008F56C3">
        <w:rPr>
          <w:rFonts w:cs="Arial"/>
          <w:szCs w:val="24"/>
        </w:rPr>
        <w:t xml:space="preserve"> and 6</w:t>
      </w:r>
      <w:r w:rsidR="00B70F8D">
        <w:rPr>
          <w:rFonts w:cs="Arial"/>
          <w:szCs w:val="24"/>
        </w:rPr>
        <w:t>; CL&amp;P</w:t>
      </w:r>
      <w:r w:rsidR="00691649">
        <w:rPr>
          <w:rFonts w:cs="Arial"/>
          <w:szCs w:val="24"/>
        </w:rPr>
        <w:t xml:space="preserve"> Correspondence dated</w:t>
      </w:r>
      <w:r w:rsidR="00B70F8D">
        <w:rPr>
          <w:rFonts w:cs="Arial"/>
          <w:szCs w:val="24"/>
        </w:rPr>
        <w:t xml:space="preserve"> June 12, 20</w:t>
      </w:r>
      <w:r w:rsidR="00691649">
        <w:rPr>
          <w:rFonts w:cs="Arial"/>
          <w:szCs w:val="24"/>
        </w:rPr>
        <w:t>20,</w:t>
      </w:r>
      <w:r w:rsidR="00B70F8D">
        <w:rPr>
          <w:rFonts w:cs="Arial"/>
          <w:szCs w:val="24"/>
        </w:rPr>
        <w:t xml:space="preserve"> in Docket No. 20-03-01</w:t>
      </w:r>
      <w:r w:rsidR="005D2629">
        <w:rPr>
          <w:rFonts w:cs="Arial"/>
          <w:szCs w:val="24"/>
        </w:rPr>
        <w:t>, pp. 1 and 2.</w:t>
      </w:r>
      <w:r w:rsidR="00B3670A" w:rsidRPr="00AE7F7F">
        <w:rPr>
          <w:rFonts w:cs="Arial"/>
          <w:szCs w:val="24"/>
        </w:rPr>
        <w:t xml:space="preserve">  </w:t>
      </w:r>
    </w:p>
    <w:p w14:paraId="06C81DCF" w14:textId="77777777" w:rsidR="00B3670A" w:rsidRPr="00AE7F7F" w:rsidRDefault="00B3670A" w:rsidP="006306CF">
      <w:pPr>
        <w:ind w:firstLine="720"/>
        <w:jc w:val="both"/>
        <w:rPr>
          <w:rFonts w:cs="Arial"/>
          <w:szCs w:val="24"/>
        </w:rPr>
      </w:pPr>
    </w:p>
    <w:p w14:paraId="462C45F2" w14:textId="60FA0DBF" w:rsidR="006306CF" w:rsidRPr="00AE7F7F" w:rsidRDefault="006306CF" w:rsidP="006306CF">
      <w:pPr>
        <w:ind w:firstLine="720"/>
        <w:jc w:val="both"/>
        <w:rPr>
          <w:rFonts w:cs="Arial"/>
          <w:szCs w:val="24"/>
        </w:rPr>
      </w:pPr>
      <w:r w:rsidRPr="00AE7F7F">
        <w:rPr>
          <w:rFonts w:cs="Arial"/>
          <w:szCs w:val="24"/>
        </w:rPr>
        <w:t xml:space="preserve">The Authority </w:t>
      </w:r>
      <w:r w:rsidR="002909DB" w:rsidRPr="00AE7F7F">
        <w:rPr>
          <w:rFonts w:cs="Arial"/>
          <w:szCs w:val="24"/>
        </w:rPr>
        <w:t>approves</w:t>
      </w:r>
      <w:r w:rsidR="00017E23">
        <w:rPr>
          <w:rFonts w:cs="Arial"/>
          <w:szCs w:val="24"/>
        </w:rPr>
        <w:t xml:space="preserve"> </w:t>
      </w:r>
      <w:r w:rsidR="00F00182">
        <w:rPr>
          <w:rFonts w:cs="Arial"/>
          <w:szCs w:val="24"/>
        </w:rPr>
        <w:t>the request</w:t>
      </w:r>
      <w:r w:rsidR="00017E23">
        <w:rPr>
          <w:rFonts w:cs="Arial"/>
          <w:szCs w:val="24"/>
        </w:rPr>
        <w:t xml:space="preserve"> for a 24</w:t>
      </w:r>
      <w:r w:rsidR="007142C6">
        <w:rPr>
          <w:rFonts w:cs="Arial"/>
          <w:szCs w:val="24"/>
        </w:rPr>
        <w:t>-</w:t>
      </w:r>
      <w:r w:rsidR="00017E23">
        <w:rPr>
          <w:rFonts w:cs="Arial"/>
          <w:szCs w:val="24"/>
        </w:rPr>
        <w:t xml:space="preserve">month recovery period for the 2019 </w:t>
      </w:r>
      <w:r w:rsidR="00CE285A">
        <w:rPr>
          <w:rFonts w:cs="Arial"/>
          <w:szCs w:val="24"/>
        </w:rPr>
        <w:t>RNS/</w:t>
      </w:r>
      <w:r w:rsidR="00B21F76">
        <w:rPr>
          <w:rFonts w:cs="Arial"/>
          <w:szCs w:val="24"/>
        </w:rPr>
        <w:t xml:space="preserve">LNS </w:t>
      </w:r>
      <w:r w:rsidR="00CE285A">
        <w:rPr>
          <w:rFonts w:cs="Arial"/>
          <w:szCs w:val="24"/>
        </w:rPr>
        <w:t>charges</w:t>
      </w:r>
      <w:r w:rsidR="00B21F76">
        <w:rPr>
          <w:rFonts w:cs="Arial"/>
          <w:szCs w:val="24"/>
        </w:rPr>
        <w:t xml:space="preserve"> </w:t>
      </w:r>
      <w:r w:rsidR="00F00182">
        <w:rPr>
          <w:rFonts w:cs="Arial"/>
          <w:szCs w:val="24"/>
        </w:rPr>
        <w:t>and</w:t>
      </w:r>
      <w:r w:rsidR="002909DB" w:rsidRPr="00AE7F7F">
        <w:rPr>
          <w:rFonts w:cs="Arial"/>
          <w:szCs w:val="24"/>
        </w:rPr>
        <w:t xml:space="preserve"> </w:t>
      </w:r>
      <w:r w:rsidRPr="00AE7F7F">
        <w:rPr>
          <w:rFonts w:cs="Arial"/>
          <w:szCs w:val="24"/>
        </w:rPr>
        <w:t xml:space="preserve">the proposed </w:t>
      </w:r>
      <w:r w:rsidR="002909DB" w:rsidRPr="00AE7F7F">
        <w:rPr>
          <w:rFonts w:cs="Arial"/>
          <w:szCs w:val="24"/>
        </w:rPr>
        <w:t xml:space="preserve">TAC </w:t>
      </w:r>
      <w:r w:rsidR="005B3715">
        <w:rPr>
          <w:rFonts w:cs="Arial"/>
          <w:szCs w:val="24"/>
        </w:rPr>
        <w:t>C</w:t>
      </w:r>
      <w:r w:rsidR="002909DB" w:rsidRPr="00AE7F7F">
        <w:rPr>
          <w:rFonts w:cs="Arial"/>
          <w:szCs w:val="24"/>
        </w:rPr>
        <w:t>harge</w:t>
      </w:r>
      <w:r w:rsidRPr="00AE7F7F">
        <w:rPr>
          <w:rFonts w:cs="Arial"/>
          <w:szCs w:val="24"/>
        </w:rPr>
        <w:t xml:space="preserve"> for billing </w:t>
      </w:r>
      <w:r w:rsidR="00AE43CE" w:rsidRPr="00AE7F7F">
        <w:rPr>
          <w:rFonts w:cs="Arial"/>
          <w:szCs w:val="24"/>
        </w:rPr>
        <w:t>effective Jul</w:t>
      </w:r>
      <w:r w:rsidRPr="00AE7F7F">
        <w:rPr>
          <w:rFonts w:cs="Arial"/>
          <w:szCs w:val="24"/>
        </w:rPr>
        <w:t>y 1, 20</w:t>
      </w:r>
      <w:r w:rsidR="008F56C3">
        <w:rPr>
          <w:rFonts w:cs="Arial"/>
          <w:szCs w:val="24"/>
        </w:rPr>
        <w:t>20</w:t>
      </w:r>
      <w:r w:rsidRPr="00AE7F7F">
        <w:rPr>
          <w:rFonts w:cs="Arial"/>
          <w:szCs w:val="24"/>
        </w:rPr>
        <w:t xml:space="preserve">, </w:t>
      </w:r>
      <w:r w:rsidR="002909DB" w:rsidRPr="00AE7F7F">
        <w:rPr>
          <w:rFonts w:cs="Arial"/>
          <w:szCs w:val="24"/>
        </w:rPr>
        <w:t xml:space="preserve">subject to </w:t>
      </w:r>
      <w:r w:rsidR="008F56C3">
        <w:rPr>
          <w:rFonts w:cs="Arial"/>
          <w:szCs w:val="24"/>
        </w:rPr>
        <w:t xml:space="preserve">final approval in </w:t>
      </w:r>
      <w:r w:rsidR="009A523F">
        <w:rPr>
          <w:rFonts w:cs="Arial"/>
          <w:szCs w:val="24"/>
        </w:rPr>
        <w:t>the applicable rate adjustment mechanisms (RAM) docket</w:t>
      </w:r>
      <w:r w:rsidRPr="00AE7F7F">
        <w:rPr>
          <w:rFonts w:cs="Arial"/>
          <w:szCs w:val="24"/>
        </w:rPr>
        <w:t xml:space="preserve">.  </w:t>
      </w:r>
    </w:p>
    <w:p w14:paraId="0A649E98" w14:textId="77777777" w:rsidR="006306CF" w:rsidRPr="00AE7F7F" w:rsidRDefault="006306CF" w:rsidP="006306CF">
      <w:pPr>
        <w:ind w:firstLine="720"/>
        <w:jc w:val="both"/>
        <w:rPr>
          <w:rFonts w:cs="Arial"/>
          <w:szCs w:val="24"/>
        </w:rPr>
      </w:pPr>
    </w:p>
    <w:p w14:paraId="5124F573" w14:textId="6CED7892" w:rsidR="006306CF" w:rsidRPr="00AE7F7F" w:rsidRDefault="002909DB" w:rsidP="006306CF">
      <w:pPr>
        <w:jc w:val="both"/>
        <w:rPr>
          <w:rFonts w:cs="Arial"/>
          <w:b/>
          <w:szCs w:val="24"/>
        </w:rPr>
      </w:pPr>
      <w:r w:rsidRPr="00AE7F7F">
        <w:rPr>
          <w:rFonts w:cs="Arial"/>
          <w:b/>
          <w:szCs w:val="24"/>
        </w:rPr>
        <w:t>3</w:t>
      </w:r>
      <w:r w:rsidR="006306CF" w:rsidRPr="00AE7F7F">
        <w:rPr>
          <w:rFonts w:cs="Arial"/>
          <w:b/>
          <w:szCs w:val="24"/>
        </w:rPr>
        <w:t>.</w:t>
      </w:r>
      <w:r w:rsidR="006306CF" w:rsidRPr="00AE7F7F">
        <w:rPr>
          <w:rFonts w:cs="Arial"/>
          <w:b/>
          <w:szCs w:val="24"/>
        </w:rPr>
        <w:tab/>
        <w:t>Non-</w:t>
      </w:r>
      <w:proofErr w:type="spellStart"/>
      <w:r w:rsidR="006306CF" w:rsidRPr="00AE7F7F">
        <w:rPr>
          <w:rFonts w:cs="Arial"/>
          <w:b/>
          <w:szCs w:val="24"/>
        </w:rPr>
        <w:t>Bypassable</w:t>
      </w:r>
      <w:proofErr w:type="spellEnd"/>
      <w:r w:rsidR="006306CF" w:rsidRPr="00AE7F7F">
        <w:rPr>
          <w:rFonts w:cs="Arial"/>
          <w:b/>
          <w:szCs w:val="24"/>
        </w:rPr>
        <w:t xml:space="preserve"> Federally Mandated Congestion Charge</w:t>
      </w:r>
    </w:p>
    <w:p w14:paraId="11E91A84" w14:textId="77777777" w:rsidR="006306CF" w:rsidRPr="00AE7F7F" w:rsidRDefault="006306CF" w:rsidP="006306CF">
      <w:pPr>
        <w:jc w:val="both"/>
        <w:rPr>
          <w:rFonts w:cs="Arial"/>
          <w:szCs w:val="24"/>
        </w:rPr>
      </w:pPr>
    </w:p>
    <w:p w14:paraId="36AAF659" w14:textId="7370BF8B" w:rsidR="006306CF" w:rsidRPr="00AE7F7F" w:rsidRDefault="006306CF" w:rsidP="006306CF">
      <w:pPr>
        <w:ind w:firstLine="720"/>
        <w:jc w:val="both"/>
        <w:rPr>
          <w:rFonts w:cs="Arial"/>
          <w:szCs w:val="24"/>
        </w:rPr>
      </w:pPr>
      <w:r w:rsidRPr="00AE7F7F">
        <w:rPr>
          <w:rFonts w:cs="Arial"/>
          <w:szCs w:val="24"/>
        </w:rPr>
        <w:t xml:space="preserve">The Company proposed to </w:t>
      </w:r>
      <w:r w:rsidR="001049F4">
        <w:rPr>
          <w:rFonts w:cs="Arial"/>
          <w:szCs w:val="24"/>
        </w:rPr>
        <w:t>in</w:t>
      </w:r>
      <w:r w:rsidRPr="00AE7F7F">
        <w:rPr>
          <w:rFonts w:cs="Arial"/>
          <w:szCs w:val="24"/>
        </w:rPr>
        <w:t xml:space="preserve">crease the weighted average NBFMCC rate </w:t>
      </w:r>
      <w:r w:rsidR="00AE43CE" w:rsidRPr="00AE7F7F">
        <w:rPr>
          <w:rFonts w:cs="Arial"/>
          <w:szCs w:val="24"/>
        </w:rPr>
        <w:t xml:space="preserve">from </w:t>
      </w:r>
      <w:r w:rsidR="001049F4">
        <w:rPr>
          <w:rFonts w:cs="Arial"/>
          <w:szCs w:val="24"/>
        </w:rPr>
        <w:t>1.423</w:t>
      </w:r>
      <w:r w:rsidRPr="00AE7F7F">
        <w:rPr>
          <w:rFonts w:cs="Arial"/>
          <w:szCs w:val="24"/>
        </w:rPr>
        <w:t xml:space="preserve">¢/kWh to </w:t>
      </w:r>
      <w:r w:rsidR="001049F4">
        <w:rPr>
          <w:rFonts w:cs="Arial"/>
          <w:szCs w:val="24"/>
        </w:rPr>
        <w:t>2</w:t>
      </w:r>
      <w:r w:rsidRPr="00AE7F7F">
        <w:rPr>
          <w:rFonts w:cs="Arial"/>
          <w:szCs w:val="24"/>
        </w:rPr>
        <w:t>.</w:t>
      </w:r>
      <w:r w:rsidR="00AE43CE" w:rsidRPr="00AE7F7F">
        <w:rPr>
          <w:rFonts w:cs="Arial"/>
          <w:szCs w:val="24"/>
        </w:rPr>
        <w:t>7</w:t>
      </w:r>
      <w:r w:rsidR="001049F4">
        <w:rPr>
          <w:rFonts w:cs="Arial"/>
          <w:szCs w:val="24"/>
        </w:rPr>
        <w:t>2</w:t>
      </w:r>
      <w:r w:rsidRPr="00AE7F7F">
        <w:rPr>
          <w:rFonts w:cs="Arial"/>
          <w:szCs w:val="24"/>
        </w:rPr>
        <w:t>9¢/kWh,</w:t>
      </w:r>
      <w:r w:rsidR="00AE43CE" w:rsidRPr="00AE7F7F">
        <w:rPr>
          <w:rFonts w:cs="Arial"/>
          <w:szCs w:val="24"/>
        </w:rPr>
        <w:t xml:space="preserve"> effective Jul</w:t>
      </w:r>
      <w:r w:rsidRPr="00AE7F7F">
        <w:rPr>
          <w:rFonts w:cs="Arial"/>
          <w:szCs w:val="24"/>
        </w:rPr>
        <w:t>y 1, 20</w:t>
      </w:r>
      <w:r w:rsidR="001049F4">
        <w:rPr>
          <w:rFonts w:cs="Arial"/>
          <w:szCs w:val="24"/>
        </w:rPr>
        <w:t>20</w:t>
      </w:r>
      <w:r w:rsidRPr="00AE7F7F">
        <w:rPr>
          <w:rFonts w:cs="Arial"/>
          <w:szCs w:val="24"/>
        </w:rPr>
        <w:t xml:space="preserve">.  </w:t>
      </w:r>
      <w:r w:rsidR="0012164B" w:rsidRPr="00AE7F7F">
        <w:rPr>
          <w:rFonts w:cs="Arial"/>
          <w:szCs w:val="24"/>
        </w:rPr>
        <w:t>CL&amp;P</w:t>
      </w:r>
      <w:r w:rsidR="00691649">
        <w:rPr>
          <w:rFonts w:cs="Arial"/>
          <w:szCs w:val="24"/>
        </w:rPr>
        <w:t xml:space="preserve"> </w:t>
      </w:r>
      <w:r w:rsidR="00691649" w:rsidRPr="00DC5F50">
        <w:rPr>
          <w:rFonts w:cs="Arial"/>
          <w:szCs w:val="24"/>
        </w:rPr>
        <w:t>Correspondence</w:t>
      </w:r>
      <w:r w:rsidR="00691649">
        <w:rPr>
          <w:rFonts w:cs="Arial"/>
          <w:szCs w:val="24"/>
        </w:rPr>
        <w:t xml:space="preserve"> dated</w:t>
      </w:r>
      <w:r w:rsidR="0012164B" w:rsidRPr="00AE7F7F">
        <w:rPr>
          <w:rFonts w:cs="Arial"/>
          <w:szCs w:val="24"/>
        </w:rPr>
        <w:t xml:space="preserve"> June 1</w:t>
      </w:r>
      <w:r w:rsidR="0012164B">
        <w:rPr>
          <w:rFonts w:cs="Arial"/>
          <w:szCs w:val="24"/>
        </w:rPr>
        <w:t>9</w:t>
      </w:r>
      <w:r w:rsidR="0012164B" w:rsidRPr="00AE7F7F">
        <w:rPr>
          <w:rFonts w:cs="Arial"/>
          <w:szCs w:val="24"/>
        </w:rPr>
        <w:t>, 20</w:t>
      </w:r>
      <w:r w:rsidR="0012164B">
        <w:rPr>
          <w:rFonts w:cs="Arial"/>
          <w:szCs w:val="24"/>
        </w:rPr>
        <w:t>20</w:t>
      </w:r>
      <w:r w:rsidR="007142C6" w:rsidRPr="00DC5F50">
        <w:rPr>
          <w:rFonts w:cs="Arial"/>
          <w:szCs w:val="24"/>
        </w:rPr>
        <w:t>,</w:t>
      </w:r>
      <w:r w:rsidR="004E08E3" w:rsidRPr="004E08E3">
        <w:rPr>
          <w:rFonts w:cs="Arial"/>
          <w:szCs w:val="24"/>
        </w:rPr>
        <w:t xml:space="preserve"> in Docket No. 20-01-01</w:t>
      </w:r>
      <w:r w:rsidR="004E08E3">
        <w:rPr>
          <w:rFonts w:cs="Arial"/>
          <w:szCs w:val="24"/>
        </w:rPr>
        <w:t>,</w:t>
      </w:r>
      <w:r w:rsidR="007142C6" w:rsidRPr="00DC5F50">
        <w:rPr>
          <w:rFonts w:cs="Arial"/>
          <w:szCs w:val="24"/>
        </w:rPr>
        <w:t xml:space="preserve"> Application</w:t>
      </w:r>
      <w:r w:rsidR="0012164B">
        <w:rPr>
          <w:rFonts w:cs="Arial"/>
          <w:szCs w:val="24"/>
        </w:rPr>
        <w:t xml:space="preserve">, p. 6.  </w:t>
      </w:r>
      <w:r w:rsidR="001049F4">
        <w:rPr>
          <w:rFonts w:cs="Arial"/>
          <w:szCs w:val="24"/>
        </w:rPr>
        <w:t xml:space="preserve">The increase </w:t>
      </w:r>
      <w:r w:rsidR="00585DDA">
        <w:rPr>
          <w:rFonts w:cs="Arial"/>
          <w:szCs w:val="24"/>
        </w:rPr>
        <w:t>was primarily due to payments associated with state</w:t>
      </w:r>
      <w:r w:rsidR="007142C6">
        <w:rPr>
          <w:rFonts w:cs="Arial"/>
          <w:szCs w:val="24"/>
        </w:rPr>
        <w:t>-</w:t>
      </w:r>
      <w:r w:rsidR="00585DDA">
        <w:rPr>
          <w:rFonts w:cs="Arial"/>
          <w:szCs w:val="24"/>
        </w:rPr>
        <w:t xml:space="preserve">approved power purchase agreements for the Millstone Nuclear Power </w:t>
      </w:r>
      <w:r w:rsidR="0012164B">
        <w:rPr>
          <w:rFonts w:cs="Arial"/>
          <w:szCs w:val="24"/>
        </w:rPr>
        <w:t>Station</w:t>
      </w:r>
      <w:r w:rsidR="00585DDA">
        <w:rPr>
          <w:rFonts w:cs="Arial"/>
          <w:szCs w:val="24"/>
        </w:rPr>
        <w:t xml:space="preserve">, which the company entered into pursuant to legislative directives.  </w:t>
      </w:r>
      <w:r w:rsidR="0012164B" w:rsidRPr="00955E03">
        <w:rPr>
          <w:rFonts w:cs="Arial"/>
          <w:szCs w:val="24"/>
          <w:u w:val="single"/>
        </w:rPr>
        <w:t>Id</w:t>
      </w:r>
      <w:r w:rsidR="0012164B">
        <w:rPr>
          <w:rFonts w:cs="Arial"/>
          <w:szCs w:val="24"/>
        </w:rPr>
        <w:t xml:space="preserve">.  </w:t>
      </w:r>
      <w:r w:rsidRPr="00AE7F7F">
        <w:rPr>
          <w:rFonts w:cs="Arial"/>
          <w:szCs w:val="24"/>
        </w:rPr>
        <w:t xml:space="preserve">The Company indicated the NBFMCC revenue to be recovered from each rate class was determined on the basis of the demand methodology previously applied and approved by the Authority.  </w:t>
      </w:r>
      <w:r w:rsidRPr="00AE7F7F">
        <w:rPr>
          <w:rFonts w:cs="Arial"/>
          <w:szCs w:val="24"/>
          <w:u w:val="single"/>
        </w:rPr>
        <w:t>Id</w:t>
      </w:r>
      <w:r w:rsidRPr="00AE7F7F">
        <w:rPr>
          <w:rFonts w:cs="Arial"/>
          <w:szCs w:val="24"/>
        </w:rPr>
        <w:t xml:space="preserve">., p. </w:t>
      </w:r>
      <w:r w:rsidR="00585DDA">
        <w:rPr>
          <w:rFonts w:cs="Arial"/>
          <w:szCs w:val="24"/>
        </w:rPr>
        <w:t>6</w:t>
      </w:r>
      <w:r w:rsidRPr="00AE7F7F">
        <w:rPr>
          <w:rFonts w:cs="Arial"/>
          <w:szCs w:val="24"/>
        </w:rPr>
        <w:t>.</w:t>
      </w:r>
    </w:p>
    <w:p w14:paraId="57B9773E" w14:textId="77777777" w:rsidR="006306CF" w:rsidRPr="00AE7F7F" w:rsidRDefault="006306CF" w:rsidP="006306CF">
      <w:pPr>
        <w:ind w:firstLine="720"/>
        <w:jc w:val="both"/>
        <w:rPr>
          <w:rFonts w:cs="Arial"/>
          <w:szCs w:val="24"/>
        </w:rPr>
      </w:pPr>
    </w:p>
    <w:p w14:paraId="0120673C" w14:textId="49178737" w:rsidR="006306CF" w:rsidRPr="00AE7F7F" w:rsidRDefault="006306CF" w:rsidP="006306CF">
      <w:pPr>
        <w:ind w:firstLine="720"/>
        <w:jc w:val="both"/>
        <w:rPr>
          <w:rFonts w:cs="Arial"/>
          <w:szCs w:val="24"/>
        </w:rPr>
      </w:pPr>
      <w:r w:rsidRPr="00AE7F7F">
        <w:rPr>
          <w:rFonts w:cs="Arial"/>
          <w:szCs w:val="24"/>
        </w:rPr>
        <w:lastRenderedPageBreak/>
        <w:t xml:space="preserve">The Authority </w:t>
      </w:r>
      <w:r w:rsidR="002909DB" w:rsidRPr="00AE7F7F">
        <w:rPr>
          <w:rFonts w:cs="Arial"/>
          <w:szCs w:val="24"/>
        </w:rPr>
        <w:t xml:space="preserve">approves the proposed NBFMCC </w:t>
      </w:r>
      <w:r w:rsidRPr="00AE7F7F">
        <w:rPr>
          <w:rFonts w:cs="Arial"/>
          <w:szCs w:val="24"/>
        </w:rPr>
        <w:t>for billing effective J</w:t>
      </w:r>
      <w:r w:rsidR="00AE43CE" w:rsidRPr="00AE7F7F">
        <w:rPr>
          <w:rFonts w:cs="Arial"/>
          <w:szCs w:val="24"/>
        </w:rPr>
        <w:t>ul</w:t>
      </w:r>
      <w:r w:rsidR="00585DDA">
        <w:rPr>
          <w:rFonts w:cs="Arial"/>
          <w:szCs w:val="24"/>
        </w:rPr>
        <w:t>y 1, 2020</w:t>
      </w:r>
      <w:r w:rsidRPr="00AE7F7F">
        <w:rPr>
          <w:rFonts w:cs="Arial"/>
          <w:szCs w:val="24"/>
        </w:rPr>
        <w:t xml:space="preserve">, </w:t>
      </w:r>
      <w:r w:rsidR="002909DB" w:rsidRPr="00AE7F7F">
        <w:rPr>
          <w:rFonts w:cs="Arial"/>
          <w:szCs w:val="24"/>
        </w:rPr>
        <w:t xml:space="preserve">subject to </w:t>
      </w:r>
      <w:r w:rsidR="00585DDA">
        <w:rPr>
          <w:rFonts w:cs="Arial"/>
          <w:szCs w:val="24"/>
        </w:rPr>
        <w:t xml:space="preserve">final approval in </w:t>
      </w:r>
      <w:r w:rsidR="007564D0">
        <w:rPr>
          <w:rFonts w:cs="Arial"/>
          <w:szCs w:val="24"/>
        </w:rPr>
        <w:t>the applicable RAM docket</w:t>
      </w:r>
      <w:r w:rsidRPr="00AE7F7F">
        <w:rPr>
          <w:rFonts w:cs="Arial"/>
          <w:szCs w:val="24"/>
        </w:rPr>
        <w:t xml:space="preserve">.  </w:t>
      </w:r>
    </w:p>
    <w:p w14:paraId="50EB846A" w14:textId="77777777" w:rsidR="00636441" w:rsidRDefault="00636441" w:rsidP="006306CF">
      <w:pPr>
        <w:jc w:val="both"/>
        <w:rPr>
          <w:rFonts w:cs="Arial"/>
          <w:szCs w:val="24"/>
        </w:rPr>
      </w:pPr>
    </w:p>
    <w:p w14:paraId="1279AA02" w14:textId="6E94170C" w:rsidR="006306CF" w:rsidRPr="00AE7F7F" w:rsidRDefault="002909DB" w:rsidP="006306CF">
      <w:pPr>
        <w:jc w:val="both"/>
        <w:rPr>
          <w:rFonts w:cs="Arial"/>
          <w:b/>
          <w:szCs w:val="24"/>
        </w:rPr>
      </w:pPr>
      <w:r w:rsidRPr="00AE7F7F">
        <w:rPr>
          <w:rFonts w:cs="Arial"/>
          <w:b/>
          <w:szCs w:val="24"/>
        </w:rPr>
        <w:t>4</w:t>
      </w:r>
      <w:r w:rsidR="006306CF" w:rsidRPr="00AE7F7F">
        <w:rPr>
          <w:rFonts w:cs="Arial"/>
          <w:b/>
          <w:szCs w:val="24"/>
        </w:rPr>
        <w:t>.</w:t>
      </w:r>
      <w:r w:rsidR="006306CF" w:rsidRPr="00AE7F7F">
        <w:rPr>
          <w:rFonts w:cs="Arial"/>
          <w:szCs w:val="24"/>
        </w:rPr>
        <w:tab/>
      </w:r>
      <w:r w:rsidR="006306CF" w:rsidRPr="00AE7F7F">
        <w:rPr>
          <w:rFonts w:cs="Arial"/>
          <w:b/>
          <w:szCs w:val="24"/>
        </w:rPr>
        <w:t>Electric System Improvements Tracker</w:t>
      </w:r>
      <w:r w:rsidR="009F5B94">
        <w:rPr>
          <w:rFonts w:cs="Arial"/>
          <w:b/>
          <w:szCs w:val="24"/>
        </w:rPr>
        <w:t xml:space="preserve"> Charge</w:t>
      </w:r>
    </w:p>
    <w:p w14:paraId="607BCCC4" w14:textId="77777777" w:rsidR="006306CF" w:rsidRPr="00AE7F7F" w:rsidRDefault="006306CF" w:rsidP="006306CF">
      <w:pPr>
        <w:jc w:val="both"/>
        <w:rPr>
          <w:rFonts w:cs="Arial"/>
          <w:b/>
          <w:szCs w:val="24"/>
        </w:rPr>
      </w:pPr>
    </w:p>
    <w:p w14:paraId="086B6455" w14:textId="66BA8068" w:rsidR="006306CF" w:rsidRPr="00AE7F7F" w:rsidRDefault="006306CF" w:rsidP="006306CF">
      <w:pPr>
        <w:jc w:val="both"/>
        <w:rPr>
          <w:rFonts w:cs="Arial"/>
          <w:szCs w:val="24"/>
        </w:rPr>
      </w:pPr>
      <w:r w:rsidRPr="00AE7F7F">
        <w:rPr>
          <w:rFonts w:cs="Arial"/>
          <w:b/>
          <w:szCs w:val="24"/>
        </w:rPr>
        <w:tab/>
      </w:r>
      <w:r w:rsidRPr="00AE7F7F">
        <w:rPr>
          <w:rFonts w:cs="Arial"/>
          <w:szCs w:val="24"/>
        </w:rPr>
        <w:t>In the Decision</w:t>
      </w:r>
      <w:r w:rsidR="00B751C8">
        <w:rPr>
          <w:rFonts w:cs="Arial"/>
          <w:szCs w:val="24"/>
        </w:rPr>
        <w:t xml:space="preserve"> dated April 18, 2018</w:t>
      </w:r>
      <w:r w:rsidR="007142C6">
        <w:rPr>
          <w:rFonts w:cs="Arial"/>
          <w:szCs w:val="24"/>
        </w:rPr>
        <w:t>,</w:t>
      </w:r>
      <w:r w:rsidR="00B751C8">
        <w:rPr>
          <w:rFonts w:cs="Arial"/>
          <w:szCs w:val="24"/>
        </w:rPr>
        <w:t xml:space="preserve"> in Docket No. 17-10-46,</w:t>
      </w:r>
      <w:r w:rsidRPr="00AE7F7F">
        <w:rPr>
          <w:rFonts w:cs="Arial"/>
          <w:szCs w:val="24"/>
        </w:rPr>
        <w:t xml:space="preserve"> the Authority approved </w:t>
      </w:r>
      <w:r w:rsidR="005E7FC9" w:rsidRPr="00AE7F7F">
        <w:rPr>
          <w:rFonts w:cs="Arial"/>
          <w:szCs w:val="24"/>
        </w:rPr>
        <w:t xml:space="preserve">the </w:t>
      </w:r>
      <w:r w:rsidR="00B751C8">
        <w:rPr>
          <w:rFonts w:cs="Arial"/>
          <w:szCs w:val="24"/>
        </w:rPr>
        <w:t xml:space="preserve">use of an </w:t>
      </w:r>
      <w:r w:rsidR="005E7FC9" w:rsidRPr="00AE7F7F">
        <w:rPr>
          <w:rFonts w:cs="Arial"/>
          <w:szCs w:val="24"/>
        </w:rPr>
        <w:t>ESI</w:t>
      </w:r>
      <w:r w:rsidRPr="00AE7F7F">
        <w:rPr>
          <w:rFonts w:cs="Arial"/>
          <w:szCs w:val="24"/>
        </w:rPr>
        <w:t xml:space="preserve"> tracker</w:t>
      </w:r>
      <w:r w:rsidR="00B751C8">
        <w:rPr>
          <w:rFonts w:cs="Arial"/>
          <w:szCs w:val="24"/>
        </w:rPr>
        <w:t xml:space="preserve"> for CL&amp;P</w:t>
      </w:r>
      <w:r w:rsidRPr="00AE7F7F">
        <w:rPr>
          <w:rFonts w:cs="Arial"/>
          <w:szCs w:val="24"/>
        </w:rPr>
        <w:t xml:space="preserve">.  </w:t>
      </w:r>
      <w:r w:rsidR="00B751C8" w:rsidRPr="00955E03">
        <w:rPr>
          <w:rFonts w:cs="Arial"/>
          <w:szCs w:val="24"/>
          <w:u w:val="single"/>
        </w:rPr>
        <w:t>Id</w:t>
      </w:r>
      <w:r w:rsidR="00B751C8">
        <w:rPr>
          <w:rFonts w:cs="Arial"/>
          <w:szCs w:val="24"/>
        </w:rPr>
        <w:t xml:space="preserve">., p. 4.  </w:t>
      </w:r>
      <w:r w:rsidRPr="00AE7F7F">
        <w:rPr>
          <w:rFonts w:cs="Arial"/>
          <w:szCs w:val="24"/>
        </w:rPr>
        <w:t>This capital tracker is adjusted biannually to recover the Company’s investments that protect, strengthen</w:t>
      </w:r>
      <w:r w:rsidR="00BD7900">
        <w:rPr>
          <w:rFonts w:cs="Arial"/>
          <w:szCs w:val="24"/>
        </w:rPr>
        <w:t>,</w:t>
      </w:r>
      <w:r w:rsidRPr="00AE7F7F">
        <w:rPr>
          <w:rFonts w:cs="Arial"/>
          <w:szCs w:val="24"/>
        </w:rPr>
        <w:t xml:space="preserve"> or modernize the electric grid</w:t>
      </w:r>
      <w:r w:rsidR="005E7FC9" w:rsidRPr="00AE7F7F">
        <w:rPr>
          <w:rFonts w:cs="Arial"/>
          <w:szCs w:val="24"/>
        </w:rPr>
        <w:t xml:space="preserve"> and</w:t>
      </w:r>
      <w:r w:rsidRPr="00AE7F7F">
        <w:rPr>
          <w:rFonts w:cs="Arial"/>
          <w:szCs w:val="24"/>
        </w:rPr>
        <w:t xml:space="preserve"> that have been previously approved.  </w:t>
      </w:r>
      <w:r w:rsidR="00B751C8" w:rsidRPr="003D65DB">
        <w:rPr>
          <w:rFonts w:cs="Arial"/>
          <w:szCs w:val="24"/>
          <w:u w:val="single"/>
        </w:rPr>
        <w:t>Id</w:t>
      </w:r>
      <w:r w:rsidR="00B751C8">
        <w:rPr>
          <w:rFonts w:cs="Arial"/>
          <w:szCs w:val="24"/>
        </w:rPr>
        <w:t xml:space="preserve">.  </w:t>
      </w:r>
      <w:r w:rsidRPr="00AE7F7F">
        <w:rPr>
          <w:rFonts w:cs="Arial"/>
          <w:szCs w:val="24"/>
        </w:rPr>
        <w:t>The ESI</w:t>
      </w:r>
      <w:r w:rsidR="005E7FC9" w:rsidRPr="00AE7F7F">
        <w:rPr>
          <w:rFonts w:cs="Arial"/>
          <w:szCs w:val="24"/>
        </w:rPr>
        <w:t xml:space="preserve"> tracker</w:t>
      </w:r>
      <w:r w:rsidRPr="00AE7F7F">
        <w:rPr>
          <w:rFonts w:cs="Arial"/>
          <w:szCs w:val="24"/>
        </w:rPr>
        <w:t xml:space="preserve"> is a separate </w:t>
      </w:r>
      <w:r w:rsidR="005B3715">
        <w:rPr>
          <w:rFonts w:cs="Arial"/>
          <w:szCs w:val="24"/>
        </w:rPr>
        <w:t>charge</w:t>
      </w:r>
      <w:r w:rsidRPr="00AE7F7F">
        <w:rPr>
          <w:rFonts w:cs="Arial"/>
          <w:szCs w:val="24"/>
        </w:rPr>
        <w:t xml:space="preserve"> on customer bills.  </w:t>
      </w:r>
      <w:r w:rsidR="00B751C8" w:rsidRPr="003D65DB">
        <w:rPr>
          <w:rFonts w:cs="Arial"/>
          <w:szCs w:val="24"/>
          <w:u w:val="single"/>
        </w:rPr>
        <w:t>Id</w:t>
      </w:r>
      <w:r w:rsidR="00B751C8">
        <w:rPr>
          <w:rFonts w:cs="Arial"/>
          <w:szCs w:val="24"/>
        </w:rPr>
        <w:t xml:space="preserve">.  </w:t>
      </w:r>
      <w:r w:rsidRPr="00AE7F7F">
        <w:rPr>
          <w:rFonts w:cs="Arial"/>
          <w:szCs w:val="24"/>
        </w:rPr>
        <w:t>CL&amp;P proposes increasing the ESI</w:t>
      </w:r>
      <w:r w:rsidR="005B3715">
        <w:rPr>
          <w:rFonts w:cs="Arial"/>
          <w:szCs w:val="24"/>
        </w:rPr>
        <w:t xml:space="preserve"> Charge</w:t>
      </w:r>
      <w:r w:rsidRPr="00AE7F7F">
        <w:rPr>
          <w:rFonts w:cs="Arial"/>
          <w:szCs w:val="24"/>
        </w:rPr>
        <w:t xml:space="preserve"> from the current 0.</w:t>
      </w:r>
      <w:r w:rsidR="00F56FA1" w:rsidRPr="00AE7F7F">
        <w:rPr>
          <w:rFonts w:cs="Arial"/>
          <w:szCs w:val="24"/>
        </w:rPr>
        <w:t>1</w:t>
      </w:r>
      <w:r w:rsidR="00585DDA">
        <w:rPr>
          <w:rFonts w:cs="Arial"/>
          <w:szCs w:val="24"/>
        </w:rPr>
        <w:t>71</w:t>
      </w:r>
      <w:r w:rsidRPr="00AE7F7F">
        <w:rPr>
          <w:rFonts w:cs="Arial"/>
          <w:szCs w:val="24"/>
        </w:rPr>
        <w:t>¢/kWh to 0.</w:t>
      </w:r>
      <w:r w:rsidR="00585DDA">
        <w:rPr>
          <w:rFonts w:cs="Arial"/>
          <w:szCs w:val="24"/>
        </w:rPr>
        <w:t>299</w:t>
      </w:r>
      <w:r w:rsidRPr="00AE7F7F">
        <w:rPr>
          <w:rFonts w:cs="Arial"/>
          <w:szCs w:val="24"/>
        </w:rPr>
        <w:t>¢/kWh</w:t>
      </w:r>
      <w:r w:rsidR="005B3715">
        <w:rPr>
          <w:rFonts w:cs="Arial"/>
          <w:szCs w:val="24"/>
        </w:rPr>
        <w:t>,</w:t>
      </w:r>
      <w:r w:rsidRPr="00AE7F7F">
        <w:rPr>
          <w:rFonts w:cs="Arial"/>
          <w:szCs w:val="24"/>
        </w:rPr>
        <w:t xml:space="preserve"> effective J</w:t>
      </w:r>
      <w:r w:rsidR="00F56FA1" w:rsidRPr="00AE7F7F">
        <w:rPr>
          <w:rFonts w:cs="Arial"/>
          <w:szCs w:val="24"/>
        </w:rPr>
        <w:t>ul</w:t>
      </w:r>
      <w:r w:rsidRPr="00AE7F7F">
        <w:rPr>
          <w:rFonts w:cs="Arial"/>
          <w:szCs w:val="24"/>
        </w:rPr>
        <w:t>y 1, 20</w:t>
      </w:r>
      <w:r w:rsidR="00585DDA">
        <w:rPr>
          <w:rFonts w:cs="Arial"/>
          <w:szCs w:val="24"/>
        </w:rPr>
        <w:t>20</w:t>
      </w:r>
      <w:r w:rsidRPr="00AE7F7F">
        <w:rPr>
          <w:rFonts w:cs="Arial"/>
          <w:szCs w:val="24"/>
        </w:rPr>
        <w:t>.</w:t>
      </w:r>
      <w:r w:rsidR="00B751C8">
        <w:rPr>
          <w:rFonts w:cs="Arial"/>
          <w:szCs w:val="24"/>
        </w:rPr>
        <w:t xml:space="preserve">  </w:t>
      </w:r>
      <w:r w:rsidR="00B751C8" w:rsidRPr="003D65DB">
        <w:rPr>
          <w:rFonts w:cs="Arial"/>
          <w:szCs w:val="24"/>
          <w:u w:val="single"/>
        </w:rPr>
        <w:t>Id</w:t>
      </w:r>
      <w:r w:rsidR="00B751C8">
        <w:rPr>
          <w:rFonts w:cs="Arial"/>
          <w:szCs w:val="24"/>
        </w:rPr>
        <w:t xml:space="preserve">.  </w:t>
      </w:r>
    </w:p>
    <w:p w14:paraId="1AF4BE4A" w14:textId="77777777" w:rsidR="006306CF" w:rsidRPr="00AE7F7F" w:rsidRDefault="006306CF" w:rsidP="006306CF">
      <w:pPr>
        <w:jc w:val="both"/>
        <w:rPr>
          <w:rFonts w:cs="Arial"/>
          <w:szCs w:val="24"/>
        </w:rPr>
      </w:pPr>
    </w:p>
    <w:p w14:paraId="3A34D335" w14:textId="6E9263F4" w:rsidR="006306CF" w:rsidRPr="00AE7F7F" w:rsidRDefault="006306CF" w:rsidP="006306CF">
      <w:pPr>
        <w:ind w:firstLine="720"/>
        <w:jc w:val="both"/>
        <w:rPr>
          <w:rFonts w:cs="Arial"/>
          <w:szCs w:val="24"/>
        </w:rPr>
      </w:pPr>
      <w:r w:rsidRPr="00AE7F7F">
        <w:rPr>
          <w:rFonts w:cs="Arial"/>
          <w:szCs w:val="24"/>
        </w:rPr>
        <w:t xml:space="preserve">The Authority </w:t>
      </w:r>
      <w:r w:rsidR="002909DB" w:rsidRPr="00AE7F7F">
        <w:rPr>
          <w:rFonts w:cs="Arial"/>
          <w:szCs w:val="24"/>
        </w:rPr>
        <w:t xml:space="preserve">approves </w:t>
      </w:r>
      <w:r w:rsidRPr="00AE7F7F">
        <w:rPr>
          <w:rFonts w:cs="Arial"/>
          <w:szCs w:val="24"/>
        </w:rPr>
        <w:t>the proposed ESI</w:t>
      </w:r>
      <w:r w:rsidR="005B3715">
        <w:rPr>
          <w:rFonts w:cs="Arial"/>
          <w:szCs w:val="24"/>
        </w:rPr>
        <w:t xml:space="preserve"> Charge</w:t>
      </w:r>
      <w:r w:rsidRPr="00AE7F7F">
        <w:rPr>
          <w:rFonts w:cs="Arial"/>
          <w:szCs w:val="24"/>
        </w:rPr>
        <w:t xml:space="preserve"> for </w:t>
      </w:r>
      <w:r w:rsidR="00F56FA1" w:rsidRPr="00AE7F7F">
        <w:rPr>
          <w:rFonts w:cs="Arial"/>
          <w:szCs w:val="24"/>
        </w:rPr>
        <w:t>billing</w:t>
      </w:r>
      <w:r w:rsidR="005B3715">
        <w:rPr>
          <w:rFonts w:cs="Arial"/>
          <w:szCs w:val="24"/>
        </w:rPr>
        <w:t>,</w:t>
      </w:r>
      <w:r w:rsidR="00F56FA1" w:rsidRPr="00AE7F7F">
        <w:rPr>
          <w:rFonts w:cs="Arial"/>
          <w:szCs w:val="24"/>
        </w:rPr>
        <w:t xml:space="preserve"> effective Jul</w:t>
      </w:r>
      <w:r w:rsidRPr="00AE7F7F">
        <w:rPr>
          <w:rFonts w:cs="Arial"/>
          <w:szCs w:val="24"/>
        </w:rPr>
        <w:t>y 1, 20</w:t>
      </w:r>
      <w:r w:rsidR="00585DDA">
        <w:rPr>
          <w:rFonts w:cs="Arial"/>
          <w:szCs w:val="24"/>
        </w:rPr>
        <w:t>20</w:t>
      </w:r>
      <w:r w:rsidRPr="00AE7F7F">
        <w:rPr>
          <w:rFonts w:cs="Arial"/>
          <w:szCs w:val="24"/>
        </w:rPr>
        <w:t xml:space="preserve">, </w:t>
      </w:r>
      <w:r w:rsidR="002909DB" w:rsidRPr="00AE7F7F">
        <w:rPr>
          <w:rFonts w:cs="Arial"/>
          <w:szCs w:val="24"/>
        </w:rPr>
        <w:t xml:space="preserve">subject to </w:t>
      </w:r>
      <w:r w:rsidR="00585DDA">
        <w:rPr>
          <w:rFonts w:cs="Arial"/>
          <w:szCs w:val="24"/>
        </w:rPr>
        <w:t xml:space="preserve">final approval in </w:t>
      </w:r>
      <w:r w:rsidR="007564D0">
        <w:rPr>
          <w:rFonts w:cs="Arial"/>
          <w:szCs w:val="24"/>
        </w:rPr>
        <w:t xml:space="preserve">the </w:t>
      </w:r>
      <w:r w:rsidR="007564D0" w:rsidRPr="007564D0">
        <w:rPr>
          <w:rFonts w:cs="Arial"/>
          <w:szCs w:val="24"/>
        </w:rPr>
        <w:t>applicable RAM docket</w:t>
      </w:r>
      <w:r w:rsidRPr="00AE7F7F">
        <w:rPr>
          <w:rFonts w:cs="Arial"/>
          <w:szCs w:val="24"/>
        </w:rPr>
        <w:t xml:space="preserve">. </w:t>
      </w:r>
    </w:p>
    <w:p w14:paraId="1797662F" w14:textId="77777777" w:rsidR="006306CF" w:rsidRPr="00AE7F7F" w:rsidRDefault="006306CF" w:rsidP="006306CF">
      <w:pPr>
        <w:jc w:val="both"/>
        <w:rPr>
          <w:rFonts w:cs="Arial"/>
          <w:b/>
          <w:szCs w:val="24"/>
        </w:rPr>
      </w:pPr>
    </w:p>
    <w:p w14:paraId="2637C8F5" w14:textId="74F90D5F" w:rsidR="006306CF" w:rsidRPr="00AE7F7F" w:rsidRDefault="002909DB" w:rsidP="006306CF">
      <w:pPr>
        <w:ind w:left="720" w:hanging="720"/>
        <w:rPr>
          <w:rFonts w:cs="Arial"/>
          <w:b/>
          <w:szCs w:val="24"/>
        </w:rPr>
      </w:pPr>
      <w:r w:rsidRPr="00AE7F7F">
        <w:rPr>
          <w:rFonts w:cs="Arial"/>
          <w:b/>
          <w:szCs w:val="24"/>
        </w:rPr>
        <w:t>5</w:t>
      </w:r>
      <w:r w:rsidR="006306CF" w:rsidRPr="00AE7F7F">
        <w:rPr>
          <w:rFonts w:cs="Arial"/>
          <w:b/>
          <w:szCs w:val="24"/>
        </w:rPr>
        <w:t>.</w:t>
      </w:r>
      <w:r w:rsidR="006306CF" w:rsidRPr="00AE7F7F">
        <w:rPr>
          <w:rFonts w:cs="Arial"/>
          <w:b/>
          <w:szCs w:val="24"/>
        </w:rPr>
        <w:tab/>
        <w:t xml:space="preserve">Generation Services Charge – Standard Service &amp; Last Resort Service and </w:t>
      </w:r>
      <w:proofErr w:type="spellStart"/>
      <w:r w:rsidR="006306CF" w:rsidRPr="00AE7F7F">
        <w:rPr>
          <w:rFonts w:cs="Arial"/>
          <w:b/>
          <w:szCs w:val="24"/>
        </w:rPr>
        <w:t>Bypassable</w:t>
      </w:r>
      <w:proofErr w:type="spellEnd"/>
      <w:r w:rsidR="006306CF" w:rsidRPr="00AE7F7F">
        <w:rPr>
          <w:rFonts w:cs="Arial"/>
          <w:b/>
          <w:szCs w:val="24"/>
        </w:rPr>
        <w:t xml:space="preserve"> Federally Mandated Congestion Charge</w:t>
      </w:r>
    </w:p>
    <w:p w14:paraId="4525151A" w14:textId="77777777" w:rsidR="006306CF" w:rsidRPr="00AE7F7F" w:rsidRDefault="006306CF" w:rsidP="006306CF">
      <w:pPr>
        <w:ind w:left="360"/>
        <w:jc w:val="both"/>
        <w:rPr>
          <w:rFonts w:cs="Arial"/>
          <w:b/>
          <w:szCs w:val="24"/>
        </w:rPr>
      </w:pPr>
    </w:p>
    <w:p w14:paraId="7AE55407" w14:textId="1F0EDDA2" w:rsidR="006306CF" w:rsidRPr="00AE7F7F" w:rsidRDefault="006306CF" w:rsidP="00794B6A">
      <w:pPr>
        <w:ind w:firstLine="720"/>
        <w:jc w:val="both"/>
        <w:rPr>
          <w:rFonts w:cs="Arial"/>
          <w:szCs w:val="24"/>
        </w:rPr>
      </w:pPr>
      <w:r w:rsidRPr="00AE7F7F">
        <w:rPr>
          <w:rFonts w:cs="Arial"/>
          <w:szCs w:val="24"/>
        </w:rPr>
        <w:t xml:space="preserve">The Authority previously approved the Standard Service, Last Resort Service GSC and BFMCC </w:t>
      </w:r>
      <w:r w:rsidR="00ED4518">
        <w:rPr>
          <w:rFonts w:cs="Arial"/>
          <w:szCs w:val="24"/>
        </w:rPr>
        <w:t>Charge</w:t>
      </w:r>
      <w:r w:rsidR="00ED4518" w:rsidRPr="00AE7F7F">
        <w:rPr>
          <w:rFonts w:cs="Arial"/>
          <w:szCs w:val="24"/>
        </w:rPr>
        <w:t xml:space="preserve">s </w:t>
      </w:r>
      <w:r w:rsidRPr="00AE7F7F">
        <w:rPr>
          <w:rFonts w:cs="Arial"/>
          <w:szCs w:val="24"/>
        </w:rPr>
        <w:t xml:space="preserve">submitted in this docket.  See PURA </w:t>
      </w:r>
      <w:r w:rsidR="00691649">
        <w:rPr>
          <w:rFonts w:cs="Arial"/>
          <w:szCs w:val="24"/>
        </w:rPr>
        <w:t>Correspondence</w:t>
      </w:r>
      <w:r w:rsidRPr="00AE7F7F">
        <w:rPr>
          <w:rFonts w:cs="Arial"/>
          <w:szCs w:val="24"/>
        </w:rPr>
        <w:t xml:space="preserve"> dated </w:t>
      </w:r>
      <w:r w:rsidR="00585DDA">
        <w:rPr>
          <w:rFonts w:cs="Arial"/>
          <w:szCs w:val="24"/>
        </w:rPr>
        <w:t>May 7</w:t>
      </w:r>
      <w:r w:rsidR="00B3670A" w:rsidRPr="00AE7F7F">
        <w:rPr>
          <w:rFonts w:cs="Arial"/>
          <w:szCs w:val="24"/>
        </w:rPr>
        <w:t>, 20</w:t>
      </w:r>
      <w:r w:rsidR="00585DDA">
        <w:rPr>
          <w:rFonts w:cs="Arial"/>
          <w:szCs w:val="24"/>
        </w:rPr>
        <w:t>20</w:t>
      </w:r>
      <w:r w:rsidRPr="00AE7F7F">
        <w:rPr>
          <w:rFonts w:cs="Arial"/>
          <w:szCs w:val="24"/>
        </w:rPr>
        <w:t xml:space="preserve">, in Docket No. </w:t>
      </w:r>
      <w:r w:rsidR="00585DDA">
        <w:rPr>
          <w:rFonts w:cs="Arial"/>
          <w:szCs w:val="24"/>
        </w:rPr>
        <w:t>20</w:t>
      </w:r>
      <w:r w:rsidRPr="00AE7F7F">
        <w:rPr>
          <w:rFonts w:cs="Arial"/>
          <w:szCs w:val="24"/>
        </w:rPr>
        <w:t>-01-01.</w:t>
      </w:r>
    </w:p>
    <w:p w14:paraId="4AD58A9A" w14:textId="77777777" w:rsidR="006306CF" w:rsidRPr="00AE7F7F" w:rsidRDefault="006306CF" w:rsidP="006306CF">
      <w:pPr>
        <w:jc w:val="both"/>
        <w:rPr>
          <w:rFonts w:cs="Arial"/>
          <w:szCs w:val="24"/>
        </w:rPr>
      </w:pPr>
    </w:p>
    <w:p w14:paraId="7D330BBC" w14:textId="77777777" w:rsidR="006306CF" w:rsidRPr="00AE7F7F" w:rsidRDefault="006306CF" w:rsidP="006306CF">
      <w:pPr>
        <w:tabs>
          <w:tab w:val="left" w:pos="2880"/>
          <w:tab w:val="left" w:pos="3960"/>
        </w:tabs>
        <w:jc w:val="both"/>
        <w:rPr>
          <w:rFonts w:cs="Arial"/>
          <w:szCs w:val="24"/>
        </w:rPr>
      </w:pPr>
      <w:r w:rsidRPr="00AE7F7F">
        <w:rPr>
          <w:rFonts w:cs="Arial"/>
          <w:szCs w:val="24"/>
        </w:rPr>
        <w:tab/>
      </w:r>
      <w:r w:rsidRPr="00AE7F7F">
        <w:rPr>
          <w:rFonts w:cs="Arial"/>
          <w:szCs w:val="24"/>
        </w:rPr>
        <w:tab/>
        <w:t>Sincerely,</w:t>
      </w:r>
    </w:p>
    <w:p w14:paraId="2A562AAD" w14:textId="77777777" w:rsidR="006306CF" w:rsidRPr="00AE7F7F" w:rsidRDefault="006306CF" w:rsidP="006306CF">
      <w:pPr>
        <w:tabs>
          <w:tab w:val="left" w:pos="2880"/>
          <w:tab w:val="left" w:pos="3960"/>
        </w:tabs>
        <w:ind w:left="3960"/>
        <w:jc w:val="both"/>
        <w:rPr>
          <w:rFonts w:cs="Arial"/>
          <w:b/>
          <w:szCs w:val="24"/>
        </w:rPr>
      </w:pPr>
    </w:p>
    <w:p w14:paraId="46B00098" w14:textId="77777777" w:rsidR="006306CF" w:rsidRPr="00AE7F7F" w:rsidRDefault="006306CF" w:rsidP="006306CF">
      <w:pPr>
        <w:tabs>
          <w:tab w:val="left" w:pos="2880"/>
          <w:tab w:val="left" w:pos="3960"/>
        </w:tabs>
        <w:jc w:val="both"/>
        <w:rPr>
          <w:rFonts w:cs="Arial"/>
          <w:szCs w:val="24"/>
        </w:rPr>
      </w:pPr>
      <w:r w:rsidRPr="00AE7F7F">
        <w:rPr>
          <w:rFonts w:cs="Arial"/>
          <w:b/>
          <w:szCs w:val="24"/>
        </w:rPr>
        <w:tab/>
      </w:r>
      <w:r w:rsidRPr="00AE7F7F">
        <w:rPr>
          <w:rFonts w:cs="Arial"/>
          <w:b/>
          <w:szCs w:val="24"/>
        </w:rPr>
        <w:tab/>
      </w:r>
      <w:r w:rsidRPr="00AE7F7F">
        <w:rPr>
          <w:rFonts w:cs="Arial"/>
          <w:szCs w:val="24"/>
        </w:rPr>
        <w:t>PUBLIC UTILITIES REGULATORY AUTHORITY</w:t>
      </w:r>
    </w:p>
    <w:p w14:paraId="0A0B331D" w14:textId="1333E79E" w:rsidR="00585DDA" w:rsidRPr="00AE7F7F" w:rsidRDefault="00FD1FE6" w:rsidP="006306CF">
      <w:pPr>
        <w:tabs>
          <w:tab w:val="left" w:pos="3600"/>
        </w:tabs>
        <w:ind w:left="4230"/>
        <w:jc w:val="both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drawing>
          <wp:inline distT="0" distB="0" distL="0" distR="0" wp14:anchorId="49494714" wp14:editId="08B34241">
            <wp:extent cx="3124200" cy="1400549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. Gaudiosi - Signat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827" cy="14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1060C" w14:textId="77777777" w:rsidR="006306CF" w:rsidRPr="00AE7F7F" w:rsidRDefault="006306CF" w:rsidP="006306CF">
      <w:pPr>
        <w:tabs>
          <w:tab w:val="left" w:pos="3960"/>
        </w:tabs>
        <w:ind w:left="3960"/>
        <w:jc w:val="both"/>
        <w:rPr>
          <w:rFonts w:cs="Arial"/>
          <w:szCs w:val="24"/>
        </w:rPr>
      </w:pPr>
      <w:r w:rsidRPr="00AE7F7F">
        <w:rPr>
          <w:rFonts w:cs="Arial"/>
          <w:szCs w:val="24"/>
        </w:rPr>
        <w:t>Jeffrey R. Gaudiosi, Esq.</w:t>
      </w:r>
    </w:p>
    <w:p w14:paraId="70C1D0C0" w14:textId="77777777" w:rsidR="006306CF" w:rsidRPr="00AE7F7F" w:rsidRDefault="006306CF" w:rsidP="006306CF">
      <w:pPr>
        <w:tabs>
          <w:tab w:val="left" w:pos="2880"/>
          <w:tab w:val="left" w:pos="3960"/>
        </w:tabs>
        <w:jc w:val="both"/>
        <w:rPr>
          <w:rFonts w:cs="Arial"/>
          <w:szCs w:val="24"/>
        </w:rPr>
      </w:pPr>
      <w:r w:rsidRPr="00AE7F7F">
        <w:rPr>
          <w:rFonts w:cs="Arial"/>
          <w:szCs w:val="24"/>
        </w:rPr>
        <w:tab/>
      </w:r>
      <w:r w:rsidRPr="00AE7F7F">
        <w:rPr>
          <w:rFonts w:cs="Arial"/>
          <w:szCs w:val="24"/>
        </w:rPr>
        <w:tab/>
        <w:t>Executive Secretary</w:t>
      </w:r>
    </w:p>
    <w:p w14:paraId="56724026" w14:textId="77777777" w:rsidR="00A57ABB" w:rsidRPr="005E7FC9" w:rsidRDefault="006306CF" w:rsidP="006306CF">
      <w:pPr>
        <w:jc w:val="both"/>
        <w:rPr>
          <w:rFonts w:cs="Arial"/>
          <w:szCs w:val="24"/>
        </w:rPr>
      </w:pPr>
      <w:r w:rsidRPr="00AE7F7F">
        <w:rPr>
          <w:rFonts w:cs="Arial"/>
          <w:szCs w:val="24"/>
        </w:rPr>
        <w:t>cc: Service List</w:t>
      </w:r>
    </w:p>
    <w:sectPr w:rsidR="00A57ABB" w:rsidRPr="005E7FC9" w:rsidSect="00431646">
      <w:head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28A30" w14:textId="77777777" w:rsidR="00483DE7" w:rsidRDefault="00483DE7" w:rsidP="00327991">
      <w:r>
        <w:separator/>
      </w:r>
    </w:p>
  </w:endnote>
  <w:endnote w:type="continuationSeparator" w:id="0">
    <w:p w14:paraId="1CC2BC0F" w14:textId="77777777" w:rsidR="00483DE7" w:rsidRDefault="00483DE7" w:rsidP="0032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odoni MT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gsanaUPC">
    <w:panose1 w:val="020B06040202020202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669BD" w14:textId="77777777" w:rsidR="00A21175" w:rsidRPr="00431646" w:rsidRDefault="00A21175" w:rsidP="00431646">
    <w:pPr>
      <w:pStyle w:val="Footer"/>
      <w:jc w:val="center"/>
      <w:rPr>
        <w:rFonts w:ascii="Bodoni MT" w:hAnsi="Bodoni MT" w:cs="AngsanaUPC"/>
        <w:b/>
        <w:color w:val="1F497D"/>
        <w:sz w:val="20"/>
        <w:szCs w:val="20"/>
      </w:rPr>
    </w:pPr>
    <w:r w:rsidRPr="00431646">
      <w:rPr>
        <w:rFonts w:ascii="Bodoni MT" w:hAnsi="Bodoni MT" w:cs="AngsanaUPC"/>
        <w:b/>
        <w:color w:val="1F497D"/>
        <w:sz w:val="20"/>
        <w:szCs w:val="20"/>
      </w:rPr>
      <w:t>10 Franklin Square, New Britain, CT 06051</w:t>
    </w:r>
  </w:p>
  <w:p w14:paraId="16C35B51" w14:textId="77777777" w:rsidR="00A21175" w:rsidRPr="00431646" w:rsidRDefault="00A21175" w:rsidP="00431646">
    <w:pPr>
      <w:pStyle w:val="Footer"/>
      <w:jc w:val="center"/>
      <w:rPr>
        <w:rFonts w:ascii="Bodoni MT" w:hAnsi="Bodoni MT"/>
        <w:color w:val="1F497D"/>
        <w:sz w:val="18"/>
        <w:szCs w:val="18"/>
      </w:rPr>
    </w:pPr>
    <w:r w:rsidRPr="00431646">
      <w:rPr>
        <w:rFonts w:ascii="Bodoni MT" w:hAnsi="Bodoni MT"/>
        <w:color w:val="1F497D"/>
        <w:sz w:val="18"/>
        <w:szCs w:val="18"/>
      </w:rPr>
      <w:t>An Equal Opportunity Employer</w:t>
    </w:r>
  </w:p>
  <w:p w14:paraId="5F92FC3B" w14:textId="77777777" w:rsidR="00A21175" w:rsidRPr="00431646" w:rsidRDefault="00A21175" w:rsidP="0090633A">
    <w:pPr>
      <w:pStyle w:val="Footer"/>
      <w:jc w:val="center"/>
      <w:rPr>
        <w:rFonts w:ascii="Bodoni MT" w:hAnsi="Bodoni MT"/>
        <w:color w:val="1F497D"/>
        <w:sz w:val="18"/>
        <w:szCs w:val="18"/>
      </w:rPr>
    </w:pPr>
    <w:r w:rsidRPr="00431646">
      <w:rPr>
        <w:rFonts w:ascii="Bodoni MT" w:hAnsi="Bodoni MT"/>
        <w:color w:val="1F497D"/>
        <w:sz w:val="18"/>
        <w:szCs w:val="18"/>
      </w:rPr>
      <w:t>www.ct.gov/pura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33D39" w14:textId="77777777" w:rsidR="00483DE7" w:rsidRDefault="00483DE7" w:rsidP="00327991">
      <w:r>
        <w:separator/>
      </w:r>
    </w:p>
  </w:footnote>
  <w:footnote w:type="continuationSeparator" w:id="0">
    <w:p w14:paraId="526ED1A1" w14:textId="77777777" w:rsidR="00483DE7" w:rsidRDefault="00483DE7" w:rsidP="00327991">
      <w:r>
        <w:continuationSeparator/>
      </w:r>
    </w:p>
  </w:footnote>
  <w:footnote w:id="1">
    <w:p w14:paraId="1FE28D8A" w14:textId="41ADEC0F" w:rsidR="00A21175" w:rsidRDefault="00A21175" w:rsidP="006306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The Combined Public Benefits Charge is comprised of four individual rates:  the </w:t>
      </w:r>
      <w:r w:rsidRPr="004B1D33">
        <w:t xml:space="preserve">Conservation and Load Management Program </w:t>
      </w:r>
      <w:r>
        <w:t>C</w:t>
      </w:r>
      <w:r w:rsidRPr="004B1D33">
        <w:t xml:space="preserve">harge, Renewable Energy Investment </w:t>
      </w:r>
      <w:r>
        <w:t>C</w:t>
      </w:r>
      <w:r w:rsidRPr="004B1D33">
        <w:t>harge</w:t>
      </w:r>
      <w:r>
        <w:t xml:space="preserve">, Conservation Adjustment Mechanism, and </w:t>
      </w:r>
      <w:r w:rsidRPr="004B1D33">
        <w:t>Systems Benefit Charge.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72A8D" w14:textId="69A0360C" w:rsidR="00A21175" w:rsidRDefault="00A21175">
    <w:pPr>
      <w:pStyle w:val="Header"/>
    </w:pPr>
    <w:r>
      <w:t>Docket No. 20</w:t>
    </w:r>
    <w:r w:rsidRPr="00760919">
      <w:t>-01-01</w:t>
    </w:r>
    <w:r>
      <w:tab/>
    </w:r>
    <w:r>
      <w:tab/>
    </w:r>
    <w:r w:rsidRPr="00760919">
      <w:t xml:space="preserve">Page </w:t>
    </w:r>
    <w:r w:rsidRPr="00760919">
      <w:fldChar w:fldCharType="begin"/>
    </w:r>
    <w:r w:rsidRPr="00760919">
      <w:instrText xml:space="preserve"> PAGE </w:instrText>
    </w:r>
    <w:r w:rsidRPr="00760919">
      <w:fldChar w:fldCharType="separate"/>
    </w:r>
    <w:r w:rsidR="00FD1FE6">
      <w:rPr>
        <w:noProof/>
      </w:rPr>
      <w:t>3</w:t>
    </w:r>
    <w:r w:rsidRPr="00760919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6CF"/>
    <w:rsid w:val="00017E23"/>
    <w:rsid w:val="00030F6A"/>
    <w:rsid w:val="000B69E9"/>
    <w:rsid w:val="001049F4"/>
    <w:rsid w:val="0012164B"/>
    <w:rsid w:val="00151031"/>
    <w:rsid w:val="001A575E"/>
    <w:rsid w:val="001C6533"/>
    <w:rsid w:val="00217277"/>
    <w:rsid w:val="00276686"/>
    <w:rsid w:val="002909DB"/>
    <w:rsid w:val="00292CC8"/>
    <w:rsid w:val="002F3CAF"/>
    <w:rsid w:val="00327991"/>
    <w:rsid w:val="003A1A6F"/>
    <w:rsid w:val="00431646"/>
    <w:rsid w:val="0044339D"/>
    <w:rsid w:val="00447EA2"/>
    <w:rsid w:val="00447F24"/>
    <w:rsid w:val="00450D46"/>
    <w:rsid w:val="00483DE7"/>
    <w:rsid w:val="004E08E3"/>
    <w:rsid w:val="004E67C1"/>
    <w:rsid w:val="00502290"/>
    <w:rsid w:val="0052753E"/>
    <w:rsid w:val="00585DDA"/>
    <w:rsid w:val="005B3715"/>
    <w:rsid w:val="005D2629"/>
    <w:rsid w:val="005E7FC9"/>
    <w:rsid w:val="00606C9F"/>
    <w:rsid w:val="00610439"/>
    <w:rsid w:val="006306CF"/>
    <w:rsid w:val="00636441"/>
    <w:rsid w:val="00664F63"/>
    <w:rsid w:val="00691649"/>
    <w:rsid w:val="0070052F"/>
    <w:rsid w:val="007142C6"/>
    <w:rsid w:val="007262C4"/>
    <w:rsid w:val="00740E8E"/>
    <w:rsid w:val="00754252"/>
    <w:rsid w:val="007564D0"/>
    <w:rsid w:val="00765D96"/>
    <w:rsid w:val="00767FA9"/>
    <w:rsid w:val="00777FEA"/>
    <w:rsid w:val="00794B6A"/>
    <w:rsid w:val="00855E7D"/>
    <w:rsid w:val="00857E51"/>
    <w:rsid w:val="008F56C3"/>
    <w:rsid w:val="0090633A"/>
    <w:rsid w:val="009224C8"/>
    <w:rsid w:val="00955E03"/>
    <w:rsid w:val="00960700"/>
    <w:rsid w:val="009A523F"/>
    <w:rsid w:val="009F5B94"/>
    <w:rsid w:val="00A21175"/>
    <w:rsid w:val="00A57ABB"/>
    <w:rsid w:val="00AA4299"/>
    <w:rsid w:val="00AE43CE"/>
    <w:rsid w:val="00AE7F7F"/>
    <w:rsid w:val="00AF494E"/>
    <w:rsid w:val="00B21F76"/>
    <w:rsid w:val="00B3388B"/>
    <w:rsid w:val="00B3670A"/>
    <w:rsid w:val="00B70B28"/>
    <w:rsid w:val="00B70F8D"/>
    <w:rsid w:val="00B751C8"/>
    <w:rsid w:val="00B848B2"/>
    <w:rsid w:val="00BD7900"/>
    <w:rsid w:val="00C7727B"/>
    <w:rsid w:val="00CE285A"/>
    <w:rsid w:val="00CE3366"/>
    <w:rsid w:val="00D12EE6"/>
    <w:rsid w:val="00D53925"/>
    <w:rsid w:val="00DC5F50"/>
    <w:rsid w:val="00E01F31"/>
    <w:rsid w:val="00E52179"/>
    <w:rsid w:val="00E7540F"/>
    <w:rsid w:val="00EA55E8"/>
    <w:rsid w:val="00ED4518"/>
    <w:rsid w:val="00EE1643"/>
    <w:rsid w:val="00F00182"/>
    <w:rsid w:val="00F32166"/>
    <w:rsid w:val="00F56FA1"/>
    <w:rsid w:val="00FC2E91"/>
    <w:rsid w:val="00FD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A9C19"/>
  <w15:docId w15:val="{FC654E57-95E2-4D02-B0E3-375722AA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991"/>
    <w:rPr>
      <w:rFonts w:ascii="Arial" w:hAnsi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79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7991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3279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7991"/>
    <w:rPr>
      <w:rFonts w:ascii="Arial" w:hAnsi="Arial"/>
      <w:sz w:val="24"/>
    </w:rPr>
  </w:style>
  <w:style w:type="character" w:styleId="Hyperlink">
    <w:name w:val="Hyperlink"/>
    <w:uiPriority w:val="99"/>
    <w:unhideWhenUsed/>
    <w:rsid w:val="00327991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6306CF"/>
    <w:pPr>
      <w:jc w:val="both"/>
    </w:pPr>
    <w:rPr>
      <w:rFonts w:eastAsia="Times New Roman"/>
      <w:szCs w:val="20"/>
    </w:rPr>
  </w:style>
  <w:style w:type="character" w:styleId="FootnoteReference">
    <w:name w:val="footnote reference"/>
    <w:semiHidden/>
    <w:rsid w:val="006306CF"/>
    <w:rPr>
      <w:rFonts w:ascii="Arial" w:hAnsi="Arial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306CF"/>
    <w:pPr>
      <w:ind w:left="288" w:hanging="288"/>
      <w:jc w:val="both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306CF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D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7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F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FC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FC9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5E7FC9"/>
    <w:rPr>
      <w:rFonts w:ascii="Arial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eepisilon\horizon\redirectedfolders\lupolil\Application%20Data\Microsoft\Templates\PURA%20Letterhead%20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41451-ADEA-1448-A16D-F108788C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deepisilon\horizon\redirectedfolders\lupolil\Application Data\Microsoft\Templates\PURA Letterhead Color.dotx</Template>
  <TotalTime>0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M. Carver</dc:creator>
  <cp:lastModifiedBy>Marc Fitch</cp:lastModifiedBy>
  <cp:revision>2</cp:revision>
  <cp:lastPrinted>2020-06-22T15:11:00Z</cp:lastPrinted>
  <dcterms:created xsi:type="dcterms:W3CDTF">2020-08-03T15:58:00Z</dcterms:created>
  <dcterms:modified xsi:type="dcterms:W3CDTF">2020-08-03T15:58:00Z</dcterms:modified>
</cp:coreProperties>
</file>